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8A" w:rsidRPr="00F00B71" w:rsidRDefault="00BD057F" w:rsidP="00F54C8A">
      <w:pPr>
        <w:pStyle w:val="Default"/>
        <w:rPr>
          <w:b/>
          <w:bCs/>
          <w:color w:val="auto"/>
          <w:sz w:val="23"/>
          <w:szCs w:val="23"/>
        </w:rPr>
      </w:pPr>
      <w:r w:rsidRPr="00BD057F">
        <w:rPr>
          <w:rFonts w:asciiTheme="minorHAnsi" w:hAnsiTheme="minorHAnsi" w:cs="Cambria"/>
          <w:b/>
          <w:color w:val="auto"/>
          <w:sz w:val="32"/>
          <w:szCs w:val="32"/>
        </w:rPr>
        <w:t xml:space="preserve">PODROBNÝ POPIS PŘEDMĚTU PLNĚNÍ ZAKÁZKY </w:t>
      </w:r>
      <w:r w:rsidR="00042842" w:rsidRPr="00F00B71">
        <w:rPr>
          <w:rFonts w:asciiTheme="minorHAnsi" w:hAnsiTheme="minorHAnsi" w:cs="Cambria"/>
          <w:b/>
          <w:color w:val="auto"/>
          <w:sz w:val="32"/>
          <w:szCs w:val="32"/>
        </w:rPr>
        <w:br/>
      </w:r>
    </w:p>
    <w:p w:rsidR="00F54C8A" w:rsidRPr="00F00B71" w:rsidRDefault="00F54C8A">
      <w:pPr>
        <w:pStyle w:val="Default"/>
        <w:rPr>
          <w:color w:val="auto"/>
          <w:sz w:val="26"/>
          <w:szCs w:val="26"/>
        </w:rPr>
      </w:pPr>
      <w:r w:rsidRPr="00F00B71">
        <w:rPr>
          <w:b/>
          <w:bCs/>
          <w:color w:val="auto"/>
          <w:sz w:val="26"/>
          <w:szCs w:val="26"/>
        </w:rPr>
        <w:t xml:space="preserve">OBSAH: </w:t>
      </w:r>
    </w:p>
    <w:p w:rsidR="00F54C8A" w:rsidRPr="00F00B71" w:rsidRDefault="00F54C8A">
      <w:pPr>
        <w:pStyle w:val="Default"/>
        <w:rPr>
          <w:color w:val="auto"/>
          <w:sz w:val="22"/>
          <w:szCs w:val="22"/>
        </w:rPr>
      </w:pPr>
      <w:r w:rsidRPr="00F00B71">
        <w:rPr>
          <w:b/>
          <w:bCs/>
          <w:color w:val="auto"/>
          <w:sz w:val="22"/>
          <w:szCs w:val="22"/>
        </w:rPr>
        <w:t xml:space="preserve">1. ZÁMĚR </w:t>
      </w:r>
      <w:r w:rsidRPr="00F00B71">
        <w:rPr>
          <w:color w:val="auto"/>
          <w:sz w:val="22"/>
          <w:szCs w:val="22"/>
        </w:rPr>
        <w:t xml:space="preserve">............................................................................................................................................ 1 </w:t>
      </w:r>
    </w:p>
    <w:p w:rsidR="00F54C8A" w:rsidRPr="00F00B71" w:rsidRDefault="00F54C8A">
      <w:pPr>
        <w:pStyle w:val="Default"/>
        <w:rPr>
          <w:color w:val="auto"/>
          <w:sz w:val="22"/>
          <w:szCs w:val="22"/>
        </w:rPr>
      </w:pPr>
      <w:r w:rsidRPr="00F00B71">
        <w:rPr>
          <w:b/>
          <w:bCs/>
          <w:color w:val="auto"/>
          <w:sz w:val="22"/>
          <w:szCs w:val="22"/>
        </w:rPr>
        <w:t xml:space="preserve">2. ŘEŠENÉ ÚZEMÍ </w:t>
      </w:r>
      <w:r w:rsidRPr="00F00B71">
        <w:rPr>
          <w:color w:val="auto"/>
          <w:sz w:val="22"/>
          <w:szCs w:val="22"/>
        </w:rPr>
        <w:t xml:space="preserve">................................................................................................................................ </w:t>
      </w:r>
      <w:r w:rsidR="00F07DF3" w:rsidRPr="00F00B71">
        <w:rPr>
          <w:color w:val="auto"/>
          <w:sz w:val="22"/>
          <w:szCs w:val="22"/>
        </w:rPr>
        <w:t>2</w:t>
      </w:r>
      <w:r w:rsidRPr="00F00B71">
        <w:rPr>
          <w:color w:val="auto"/>
          <w:sz w:val="22"/>
          <w:szCs w:val="22"/>
        </w:rPr>
        <w:t xml:space="preserve"> </w:t>
      </w:r>
    </w:p>
    <w:p w:rsidR="00F54C8A" w:rsidRPr="00F00B71" w:rsidRDefault="00F54C8A">
      <w:pPr>
        <w:pStyle w:val="Default"/>
        <w:rPr>
          <w:color w:val="auto"/>
          <w:sz w:val="22"/>
          <w:szCs w:val="22"/>
        </w:rPr>
      </w:pPr>
      <w:r w:rsidRPr="00F00B71">
        <w:rPr>
          <w:color w:val="auto"/>
          <w:sz w:val="22"/>
          <w:szCs w:val="22"/>
        </w:rPr>
        <w:t xml:space="preserve">2.1. Umístění stavby/pozemků dle katastrálních předpisů ................................................................. 1 </w:t>
      </w:r>
    </w:p>
    <w:p w:rsidR="00F54C8A" w:rsidRPr="00F00B71" w:rsidRDefault="00F54C8A">
      <w:pPr>
        <w:pStyle w:val="Default"/>
        <w:rPr>
          <w:color w:val="auto"/>
          <w:sz w:val="22"/>
          <w:szCs w:val="22"/>
        </w:rPr>
      </w:pPr>
      <w:r w:rsidRPr="00F00B71">
        <w:rPr>
          <w:color w:val="auto"/>
          <w:sz w:val="22"/>
          <w:szCs w:val="22"/>
        </w:rPr>
        <w:t xml:space="preserve">2.2. Právní vztahy k řešenému území .................................................................................................. </w:t>
      </w:r>
      <w:r w:rsidR="00F07DF3" w:rsidRPr="00F00B71">
        <w:rPr>
          <w:color w:val="auto"/>
          <w:sz w:val="22"/>
          <w:szCs w:val="22"/>
        </w:rPr>
        <w:t>2</w:t>
      </w:r>
      <w:r w:rsidRPr="00F00B71">
        <w:rPr>
          <w:color w:val="auto"/>
          <w:sz w:val="22"/>
          <w:szCs w:val="22"/>
        </w:rPr>
        <w:t xml:space="preserve"> </w:t>
      </w:r>
    </w:p>
    <w:p w:rsidR="00F54C8A" w:rsidRPr="00F00B71" w:rsidRDefault="00F54C8A">
      <w:pPr>
        <w:pStyle w:val="Default"/>
        <w:rPr>
          <w:rFonts w:asciiTheme="minorHAnsi" w:hAnsiTheme="minorHAnsi" w:cstheme="minorHAnsi"/>
          <w:color w:val="auto"/>
          <w:sz w:val="22"/>
          <w:szCs w:val="22"/>
        </w:rPr>
      </w:pPr>
      <w:r w:rsidRPr="00F00B71">
        <w:rPr>
          <w:rFonts w:asciiTheme="minorHAnsi" w:hAnsiTheme="minorHAnsi" w:cstheme="minorHAnsi"/>
          <w:color w:val="auto"/>
          <w:sz w:val="22"/>
          <w:szCs w:val="22"/>
        </w:rPr>
        <w:t xml:space="preserve">2.3. Současný stav: .............................................................................................................................. 2 </w:t>
      </w:r>
    </w:p>
    <w:p w:rsidR="00F54C8A" w:rsidRPr="00F00B71" w:rsidRDefault="00F54C8A">
      <w:pPr>
        <w:pStyle w:val="Default"/>
        <w:rPr>
          <w:rFonts w:asciiTheme="minorHAnsi" w:hAnsiTheme="minorHAnsi" w:cstheme="minorHAnsi"/>
          <w:color w:val="auto"/>
          <w:sz w:val="22"/>
          <w:szCs w:val="22"/>
        </w:rPr>
      </w:pPr>
      <w:r w:rsidRPr="00F00B71">
        <w:rPr>
          <w:rFonts w:asciiTheme="minorHAnsi" w:hAnsiTheme="minorHAnsi" w:cstheme="minorHAnsi"/>
          <w:b/>
          <w:bCs/>
          <w:color w:val="auto"/>
          <w:sz w:val="22"/>
          <w:szCs w:val="22"/>
        </w:rPr>
        <w:t xml:space="preserve">3. NÁVRH ZADÁNÍ / Stavební program </w:t>
      </w:r>
      <w:r w:rsidRPr="00F00B71">
        <w:rPr>
          <w:rFonts w:asciiTheme="minorHAnsi" w:hAnsiTheme="minorHAnsi" w:cstheme="minorHAnsi"/>
          <w:color w:val="auto"/>
          <w:sz w:val="22"/>
          <w:szCs w:val="22"/>
        </w:rPr>
        <w:t xml:space="preserve">.............................................................................................. </w:t>
      </w:r>
      <w:r w:rsidR="00EE71D6" w:rsidRPr="00F00B71">
        <w:rPr>
          <w:rFonts w:asciiTheme="minorHAnsi" w:hAnsiTheme="minorHAnsi" w:cstheme="minorHAnsi"/>
          <w:color w:val="auto"/>
          <w:sz w:val="22"/>
          <w:szCs w:val="22"/>
        </w:rPr>
        <w:t>4</w:t>
      </w:r>
    </w:p>
    <w:p w:rsidR="00F54C8A" w:rsidRPr="00F00B71" w:rsidRDefault="00F54C8A">
      <w:pPr>
        <w:pStyle w:val="Default"/>
        <w:rPr>
          <w:rFonts w:asciiTheme="minorHAnsi" w:hAnsiTheme="minorHAnsi" w:cstheme="minorHAnsi"/>
          <w:color w:val="auto"/>
          <w:sz w:val="22"/>
          <w:szCs w:val="22"/>
        </w:rPr>
      </w:pPr>
      <w:r w:rsidRPr="00F00B71">
        <w:rPr>
          <w:rFonts w:asciiTheme="minorHAnsi" w:hAnsiTheme="minorHAnsi" w:cstheme="minorHAnsi"/>
          <w:color w:val="auto"/>
          <w:sz w:val="22"/>
          <w:szCs w:val="22"/>
        </w:rPr>
        <w:t>3.1. Objekt čp. 1</w:t>
      </w:r>
      <w:r w:rsidR="00E6499D" w:rsidRPr="00F00B71">
        <w:rPr>
          <w:rFonts w:asciiTheme="minorHAnsi" w:hAnsiTheme="minorHAnsi" w:cstheme="minorHAnsi"/>
          <w:color w:val="auto"/>
          <w:sz w:val="22"/>
          <w:szCs w:val="22"/>
        </w:rPr>
        <w:t>3</w:t>
      </w:r>
      <w:r w:rsidR="00857661" w:rsidRPr="00F00B71">
        <w:rPr>
          <w:rFonts w:asciiTheme="minorHAnsi" w:hAnsiTheme="minorHAnsi" w:cstheme="minorHAnsi"/>
          <w:color w:val="auto"/>
          <w:sz w:val="22"/>
          <w:szCs w:val="22"/>
        </w:rPr>
        <w:t>4</w:t>
      </w:r>
      <w:r w:rsidRPr="00F00B71">
        <w:rPr>
          <w:rFonts w:asciiTheme="minorHAnsi" w:hAnsiTheme="minorHAnsi" w:cstheme="minorHAnsi"/>
          <w:color w:val="auto"/>
          <w:sz w:val="22"/>
          <w:szCs w:val="22"/>
        </w:rPr>
        <w:t xml:space="preserve"> </w:t>
      </w:r>
      <w:r w:rsidR="00E6499D" w:rsidRPr="00F00B71">
        <w:rPr>
          <w:rFonts w:asciiTheme="minorHAnsi" w:hAnsiTheme="minorHAnsi" w:cstheme="minorHAnsi"/>
          <w:color w:val="auto"/>
          <w:sz w:val="22"/>
          <w:szCs w:val="22"/>
        </w:rPr>
        <w:t>..</w:t>
      </w:r>
      <w:r w:rsidRPr="00F00B71">
        <w:rPr>
          <w:rFonts w:asciiTheme="minorHAnsi" w:hAnsiTheme="minorHAnsi" w:cstheme="minorHAnsi"/>
          <w:color w:val="auto"/>
          <w:sz w:val="22"/>
          <w:szCs w:val="22"/>
        </w:rPr>
        <w:t>........................................................................................................................</w:t>
      </w:r>
      <w:r w:rsidR="00EE71D6" w:rsidRPr="00F00B71">
        <w:rPr>
          <w:rFonts w:asciiTheme="minorHAnsi" w:hAnsiTheme="minorHAnsi" w:cstheme="minorHAnsi"/>
          <w:color w:val="auto"/>
          <w:sz w:val="22"/>
          <w:szCs w:val="22"/>
        </w:rPr>
        <w:t>.</w:t>
      </w:r>
      <w:r w:rsidRPr="00F00B71">
        <w:rPr>
          <w:rFonts w:asciiTheme="minorHAnsi" w:hAnsiTheme="minorHAnsi" w:cstheme="minorHAnsi"/>
          <w:color w:val="auto"/>
          <w:sz w:val="22"/>
          <w:szCs w:val="22"/>
        </w:rPr>
        <w:t xml:space="preserve">... </w:t>
      </w:r>
      <w:r w:rsidR="00EE71D6" w:rsidRPr="00F00B71">
        <w:rPr>
          <w:rFonts w:asciiTheme="minorHAnsi" w:hAnsiTheme="minorHAnsi" w:cstheme="minorHAnsi"/>
          <w:color w:val="auto"/>
          <w:sz w:val="22"/>
          <w:szCs w:val="22"/>
        </w:rPr>
        <w:t>4</w:t>
      </w:r>
      <w:r w:rsidRPr="00F00B71">
        <w:rPr>
          <w:rFonts w:asciiTheme="minorHAnsi" w:hAnsiTheme="minorHAnsi" w:cstheme="minorHAnsi"/>
          <w:color w:val="auto"/>
          <w:sz w:val="22"/>
          <w:szCs w:val="22"/>
        </w:rPr>
        <w:t xml:space="preserve"> </w:t>
      </w:r>
      <w:r w:rsidR="00857661" w:rsidRPr="00F00B71">
        <w:rPr>
          <w:rFonts w:asciiTheme="minorHAnsi" w:hAnsiTheme="minorHAnsi" w:cstheme="minorHAnsi"/>
          <w:color w:val="auto"/>
          <w:sz w:val="22"/>
          <w:szCs w:val="22"/>
        </w:rPr>
        <w:br/>
        <w:t>3.2. Objekt čp. 133</w:t>
      </w:r>
      <w:r w:rsidR="0082208C" w:rsidRPr="00F00B71">
        <w:rPr>
          <w:rFonts w:asciiTheme="minorHAnsi" w:hAnsiTheme="minorHAnsi" w:cstheme="minorHAnsi"/>
          <w:color w:val="auto"/>
          <w:sz w:val="22"/>
          <w:szCs w:val="22"/>
        </w:rPr>
        <w:t xml:space="preserve"> ………………………………………………………………………………………………………………….…….. </w:t>
      </w:r>
      <w:r w:rsidR="00EE71D6" w:rsidRPr="00F00B71">
        <w:rPr>
          <w:rFonts w:asciiTheme="minorHAnsi" w:hAnsiTheme="minorHAnsi" w:cstheme="minorHAnsi"/>
          <w:color w:val="auto"/>
          <w:sz w:val="22"/>
          <w:szCs w:val="22"/>
        </w:rPr>
        <w:t>6</w:t>
      </w:r>
    </w:p>
    <w:p w:rsidR="00F54C8A" w:rsidRPr="00F00B71" w:rsidRDefault="0082208C">
      <w:pPr>
        <w:pStyle w:val="Default"/>
        <w:spacing w:after="22"/>
        <w:rPr>
          <w:rFonts w:asciiTheme="minorHAnsi" w:hAnsiTheme="minorHAnsi" w:cstheme="minorHAnsi"/>
          <w:color w:val="auto"/>
          <w:sz w:val="22"/>
          <w:szCs w:val="22"/>
        </w:rPr>
      </w:pPr>
      <w:r w:rsidRPr="00F00B71">
        <w:rPr>
          <w:rFonts w:asciiTheme="minorHAnsi" w:hAnsiTheme="minorHAnsi" w:cstheme="minorHAnsi"/>
          <w:color w:val="auto"/>
          <w:sz w:val="22"/>
          <w:szCs w:val="22"/>
        </w:rPr>
        <w:t>3.3</w:t>
      </w:r>
      <w:r w:rsidR="00F54C8A" w:rsidRPr="00F00B71">
        <w:rPr>
          <w:rFonts w:asciiTheme="minorHAnsi" w:hAnsiTheme="minorHAnsi" w:cstheme="minorHAnsi"/>
          <w:color w:val="auto"/>
          <w:sz w:val="22"/>
          <w:szCs w:val="22"/>
        </w:rPr>
        <w:t xml:space="preserve">. </w:t>
      </w:r>
      <w:r w:rsidR="00F54C8A" w:rsidRPr="00F00B71">
        <w:rPr>
          <w:rFonts w:asciiTheme="minorHAnsi" w:hAnsiTheme="minorHAnsi" w:cstheme="minorHAnsi"/>
          <w:color w:val="auto"/>
        </w:rPr>
        <w:t>Venkovní zpevněné a parkovací plochy</w:t>
      </w:r>
      <w:r w:rsidR="00F54C8A" w:rsidRPr="00F00B71">
        <w:rPr>
          <w:rFonts w:asciiTheme="minorHAnsi" w:hAnsiTheme="minorHAnsi" w:cstheme="minorHAnsi"/>
          <w:color w:val="auto"/>
          <w:sz w:val="22"/>
          <w:szCs w:val="22"/>
        </w:rPr>
        <w:t xml:space="preserve">................................................................................... </w:t>
      </w:r>
      <w:r w:rsidR="00EE71D6" w:rsidRPr="00F00B71">
        <w:rPr>
          <w:rFonts w:asciiTheme="minorHAnsi" w:hAnsiTheme="minorHAnsi" w:cstheme="minorHAnsi"/>
          <w:color w:val="auto"/>
          <w:sz w:val="22"/>
          <w:szCs w:val="22"/>
        </w:rPr>
        <w:t>7</w:t>
      </w:r>
      <w:r w:rsidR="00F54C8A" w:rsidRPr="00F00B71">
        <w:rPr>
          <w:rFonts w:asciiTheme="minorHAnsi" w:hAnsiTheme="minorHAnsi" w:cstheme="minorHAnsi"/>
          <w:color w:val="auto"/>
          <w:sz w:val="22"/>
          <w:szCs w:val="22"/>
        </w:rPr>
        <w:t xml:space="preserve"> </w:t>
      </w:r>
    </w:p>
    <w:p w:rsidR="00F54C8A" w:rsidRPr="00F00B71" w:rsidRDefault="00F54C8A">
      <w:pPr>
        <w:pStyle w:val="Default"/>
        <w:rPr>
          <w:rFonts w:asciiTheme="minorHAnsi" w:hAnsiTheme="minorHAnsi" w:cstheme="minorHAnsi"/>
          <w:color w:val="auto"/>
          <w:sz w:val="22"/>
          <w:szCs w:val="22"/>
        </w:rPr>
      </w:pPr>
      <w:r w:rsidRPr="00F00B71">
        <w:rPr>
          <w:rFonts w:asciiTheme="minorHAnsi" w:hAnsiTheme="minorHAnsi" w:cstheme="minorHAnsi"/>
          <w:b/>
          <w:bCs/>
          <w:color w:val="auto"/>
          <w:sz w:val="22"/>
          <w:szCs w:val="22"/>
        </w:rPr>
        <w:t xml:space="preserve">4. ROZSAH POŽADOVANÉ DOKUMENTACE  </w:t>
      </w:r>
      <w:r w:rsidRPr="00F00B71">
        <w:rPr>
          <w:rFonts w:asciiTheme="minorHAnsi" w:hAnsiTheme="minorHAnsi" w:cstheme="minorHAnsi"/>
          <w:color w:val="auto"/>
          <w:sz w:val="22"/>
          <w:szCs w:val="22"/>
        </w:rPr>
        <w:t>.........................................................</w:t>
      </w:r>
      <w:r w:rsidR="00B749C8" w:rsidRPr="00F00B71">
        <w:rPr>
          <w:rFonts w:asciiTheme="minorHAnsi" w:hAnsiTheme="minorHAnsi" w:cstheme="minorHAnsi"/>
          <w:color w:val="auto"/>
          <w:sz w:val="22"/>
          <w:szCs w:val="22"/>
        </w:rPr>
        <w:t xml:space="preserve">.............................. </w:t>
      </w:r>
      <w:r w:rsidR="00EE71D6" w:rsidRPr="00F00B71">
        <w:rPr>
          <w:rFonts w:asciiTheme="minorHAnsi" w:hAnsiTheme="minorHAnsi" w:cstheme="minorHAnsi"/>
          <w:color w:val="auto"/>
          <w:sz w:val="22"/>
          <w:szCs w:val="22"/>
        </w:rPr>
        <w:t>7</w:t>
      </w:r>
      <w:r w:rsidRPr="00F00B71">
        <w:rPr>
          <w:rFonts w:asciiTheme="minorHAnsi" w:hAnsiTheme="minorHAnsi" w:cstheme="minorHAnsi"/>
          <w:color w:val="auto"/>
          <w:sz w:val="22"/>
          <w:szCs w:val="22"/>
        </w:rPr>
        <w:t xml:space="preserve"> </w:t>
      </w:r>
    </w:p>
    <w:p w:rsidR="00F54C8A" w:rsidRPr="00F00B71" w:rsidRDefault="00F54C8A" w:rsidP="00F54C8A">
      <w:pPr>
        <w:pStyle w:val="Default"/>
        <w:rPr>
          <w:rFonts w:asciiTheme="minorHAnsi" w:hAnsiTheme="minorHAnsi" w:cstheme="minorHAnsi"/>
          <w:color w:val="auto"/>
          <w:sz w:val="22"/>
          <w:szCs w:val="22"/>
        </w:rPr>
      </w:pPr>
    </w:p>
    <w:p w:rsidR="001E17F2" w:rsidRPr="00F00B71" w:rsidRDefault="001E17F2" w:rsidP="001E17F2">
      <w:pPr>
        <w:pStyle w:val="Default"/>
        <w:rPr>
          <w:rFonts w:asciiTheme="minorHAnsi" w:hAnsiTheme="minorHAnsi" w:cstheme="minorHAnsi"/>
          <w:color w:val="auto"/>
          <w:sz w:val="26"/>
          <w:szCs w:val="26"/>
        </w:rPr>
      </w:pPr>
      <w:r w:rsidRPr="00F00B71">
        <w:rPr>
          <w:rFonts w:asciiTheme="minorHAnsi" w:hAnsiTheme="minorHAnsi" w:cstheme="minorHAnsi"/>
          <w:b/>
          <w:bCs/>
          <w:color w:val="auto"/>
          <w:sz w:val="26"/>
          <w:szCs w:val="26"/>
        </w:rPr>
        <w:t xml:space="preserve">1. ZÁMĚR </w:t>
      </w:r>
    </w:p>
    <w:p w:rsidR="001E17F2" w:rsidRPr="00F00B71" w:rsidRDefault="001E17F2" w:rsidP="001E17F2">
      <w:pPr>
        <w:pStyle w:val="Default"/>
        <w:rPr>
          <w:rFonts w:asciiTheme="minorHAnsi" w:hAnsiTheme="minorHAnsi" w:cstheme="minorHAnsi"/>
          <w:color w:val="auto"/>
          <w:sz w:val="23"/>
          <w:szCs w:val="23"/>
        </w:rPr>
      </w:pPr>
    </w:p>
    <w:p w:rsidR="001E17F2" w:rsidRPr="009C7E26"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Záměrem je zpracov</w:t>
      </w:r>
      <w:r w:rsidR="00511230" w:rsidRPr="00F00B71">
        <w:rPr>
          <w:rFonts w:asciiTheme="minorHAnsi" w:hAnsiTheme="minorHAnsi" w:cstheme="minorHAnsi"/>
          <w:color w:val="auto"/>
          <w:sz w:val="23"/>
          <w:szCs w:val="23"/>
        </w:rPr>
        <w:t>ání studie využitelností objektů Národního domu v Místku a bývalé Moravia banky</w:t>
      </w:r>
      <w:r w:rsidR="000A0BD4" w:rsidRPr="00F00B71">
        <w:rPr>
          <w:rFonts w:asciiTheme="minorHAnsi" w:hAnsiTheme="minorHAnsi" w:cstheme="minorHAnsi"/>
          <w:color w:val="auto"/>
          <w:sz w:val="23"/>
          <w:szCs w:val="23"/>
        </w:rPr>
        <w:t xml:space="preserve"> ve dvou základních variantách</w:t>
      </w:r>
      <w:r w:rsidR="000F3426" w:rsidRPr="00F00B71">
        <w:rPr>
          <w:rFonts w:asciiTheme="minorHAnsi" w:hAnsiTheme="minorHAnsi" w:cstheme="minorHAnsi"/>
          <w:color w:val="auto"/>
          <w:sz w:val="23"/>
          <w:szCs w:val="23"/>
        </w:rPr>
        <w:t xml:space="preserve"> </w:t>
      </w:r>
      <w:r w:rsidR="000A0BD4" w:rsidRPr="00F00B71">
        <w:rPr>
          <w:rFonts w:asciiTheme="minorHAnsi" w:hAnsiTheme="minorHAnsi" w:cstheme="minorHAnsi"/>
          <w:color w:val="auto"/>
          <w:sz w:val="23"/>
          <w:szCs w:val="23"/>
        </w:rPr>
        <w:t>a následně dokumentace pro územní rozhodnutí</w:t>
      </w:r>
      <w:r w:rsidR="004940D1" w:rsidRPr="00F00B71">
        <w:rPr>
          <w:rFonts w:asciiTheme="minorHAnsi" w:hAnsiTheme="minorHAnsi" w:cstheme="minorHAnsi"/>
          <w:color w:val="auto"/>
          <w:sz w:val="23"/>
          <w:szCs w:val="23"/>
        </w:rPr>
        <w:t>, stavební povolení a dokumentace pro provedení stavby</w:t>
      </w:r>
      <w:r w:rsidRPr="00F00B71">
        <w:rPr>
          <w:rFonts w:asciiTheme="minorHAnsi" w:hAnsiTheme="minorHAnsi" w:cstheme="minorHAnsi"/>
          <w:color w:val="auto"/>
          <w:sz w:val="23"/>
          <w:szCs w:val="23"/>
        </w:rPr>
        <w:t>. Hlavním účelem studie bude návrh efektivního využití vnitřních prostor dle požadavk</w:t>
      </w:r>
      <w:r w:rsidR="00D82AEC" w:rsidRPr="00F00B71">
        <w:rPr>
          <w:rFonts w:asciiTheme="minorHAnsi" w:hAnsiTheme="minorHAnsi" w:cstheme="minorHAnsi"/>
          <w:color w:val="auto"/>
          <w:sz w:val="23"/>
          <w:szCs w:val="23"/>
        </w:rPr>
        <w:t>ů</w:t>
      </w:r>
      <w:r w:rsidRPr="00F00B71">
        <w:rPr>
          <w:rFonts w:asciiTheme="minorHAnsi" w:hAnsiTheme="minorHAnsi" w:cstheme="minorHAnsi"/>
          <w:color w:val="auto"/>
          <w:sz w:val="23"/>
          <w:szCs w:val="23"/>
        </w:rPr>
        <w:t xml:space="preserve"> „příspěvkové organizace“ Národní dům Frýdek-Místek. </w:t>
      </w:r>
      <w:r w:rsidR="004940D1" w:rsidRPr="00F00B71">
        <w:rPr>
          <w:rFonts w:asciiTheme="minorHAnsi" w:hAnsiTheme="minorHAnsi" w:cstheme="minorHAnsi"/>
          <w:color w:val="auto"/>
          <w:sz w:val="23"/>
          <w:szCs w:val="23"/>
        </w:rPr>
        <w:t>Záměrem je také studie</w:t>
      </w:r>
      <w:r w:rsidR="00D62400" w:rsidRPr="00F00B71">
        <w:rPr>
          <w:rFonts w:asciiTheme="minorHAnsi" w:hAnsiTheme="minorHAnsi" w:cstheme="minorHAnsi"/>
          <w:color w:val="auto"/>
          <w:sz w:val="23"/>
          <w:szCs w:val="23"/>
        </w:rPr>
        <w:t xml:space="preserve"> </w:t>
      </w:r>
      <w:r w:rsidR="00D62400" w:rsidRPr="00AE0DF1">
        <w:rPr>
          <w:rFonts w:asciiTheme="minorHAnsi" w:hAnsiTheme="minorHAnsi" w:cstheme="minorHAnsi"/>
          <w:color w:val="auto"/>
          <w:sz w:val="23"/>
          <w:szCs w:val="23"/>
        </w:rPr>
        <w:t xml:space="preserve">dopravního řešení </w:t>
      </w:r>
      <w:r w:rsidR="004940D1" w:rsidRPr="00AE0DF1">
        <w:rPr>
          <w:rFonts w:asciiTheme="minorHAnsi" w:hAnsiTheme="minorHAnsi" w:cstheme="minorHAnsi"/>
          <w:color w:val="auto"/>
          <w:sz w:val="23"/>
          <w:szCs w:val="23"/>
        </w:rPr>
        <w:t xml:space="preserve">týkajícího se </w:t>
      </w:r>
      <w:r w:rsidR="00D62400" w:rsidRPr="00AE0DF1">
        <w:rPr>
          <w:rFonts w:asciiTheme="minorHAnsi" w:hAnsiTheme="minorHAnsi" w:cstheme="minorHAnsi"/>
          <w:color w:val="auto"/>
          <w:sz w:val="23"/>
          <w:szCs w:val="23"/>
        </w:rPr>
        <w:t>zásobování Národního domu včetně příjezdů a parkování k objektům Národního domu a bývalé Moravia banky. Předmětem díla není rekonstrukce garáží a skladů Národního domu</w:t>
      </w:r>
      <w:r w:rsidR="004875F0" w:rsidRPr="00AE0DF1">
        <w:rPr>
          <w:rFonts w:asciiTheme="minorHAnsi" w:hAnsiTheme="minorHAnsi" w:cstheme="minorHAnsi"/>
          <w:color w:val="auto"/>
          <w:sz w:val="23"/>
          <w:szCs w:val="23"/>
        </w:rPr>
        <w:t xml:space="preserve"> a </w:t>
      </w:r>
      <w:r w:rsidR="004875F0" w:rsidRPr="009C7E26">
        <w:rPr>
          <w:rFonts w:asciiTheme="minorHAnsi" w:hAnsiTheme="minorHAnsi" w:cstheme="minorHAnsi"/>
          <w:color w:val="auto"/>
          <w:sz w:val="23"/>
          <w:szCs w:val="23"/>
        </w:rPr>
        <w:t>přístavba multifunkčního sálu</w:t>
      </w:r>
      <w:r w:rsidR="00D62400" w:rsidRPr="00AE0DF1">
        <w:rPr>
          <w:rFonts w:asciiTheme="minorHAnsi" w:hAnsiTheme="minorHAnsi" w:cstheme="minorHAnsi"/>
          <w:color w:val="auto"/>
          <w:sz w:val="23"/>
          <w:szCs w:val="23"/>
        </w:rPr>
        <w:t xml:space="preserve">. </w:t>
      </w:r>
      <w:r w:rsidR="004940D1" w:rsidRPr="00AE0DF1">
        <w:rPr>
          <w:rFonts w:asciiTheme="minorHAnsi" w:hAnsiTheme="minorHAnsi" w:cstheme="minorHAnsi"/>
          <w:color w:val="auto"/>
          <w:sz w:val="23"/>
          <w:szCs w:val="23"/>
        </w:rPr>
        <w:t>Součástí záměru je dopracování studií</w:t>
      </w:r>
      <w:r w:rsidR="00D62400" w:rsidRPr="00AE0DF1">
        <w:rPr>
          <w:rFonts w:asciiTheme="minorHAnsi" w:hAnsiTheme="minorHAnsi" w:cstheme="minorHAnsi"/>
          <w:color w:val="auto"/>
          <w:sz w:val="23"/>
          <w:szCs w:val="23"/>
        </w:rPr>
        <w:t xml:space="preserve"> do dalších stupňů projektové dokumentace</w:t>
      </w:r>
      <w:r w:rsidR="005E5D50" w:rsidRPr="00AE0DF1">
        <w:rPr>
          <w:rFonts w:asciiTheme="minorHAnsi" w:hAnsiTheme="minorHAnsi" w:cstheme="minorHAnsi"/>
          <w:color w:val="auto"/>
          <w:sz w:val="23"/>
          <w:szCs w:val="23"/>
        </w:rPr>
        <w:t xml:space="preserve"> ve stupni DUR, DSP a DPS</w:t>
      </w:r>
      <w:r w:rsidR="004875F0" w:rsidRPr="00AE0DF1">
        <w:rPr>
          <w:rFonts w:asciiTheme="minorHAnsi" w:hAnsiTheme="minorHAnsi" w:cstheme="minorHAnsi"/>
          <w:color w:val="auto"/>
          <w:sz w:val="23"/>
          <w:szCs w:val="23"/>
        </w:rPr>
        <w:t xml:space="preserve"> </w:t>
      </w:r>
      <w:r w:rsidR="00BA7A70" w:rsidRPr="009C7E26">
        <w:rPr>
          <w:rFonts w:asciiTheme="minorHAnsi" w:hAnsiTheme="minorHAnsi" w:cstheme="minorHAnsi"/>
          <w:color w:val="auto"/>
          <w:sz w:val="23"/>
          <w:szCs w:val="23"/>
        </w:rPr>
        <w:t>včetně inženýrské činnosti (IČ).</w:t>
      </w:r>
    </w:p>
    <w:p w:rsidR="00EF65FD" w:rsidRPr="00AE0DF1" w:rsidRDefault="00EF65FD" w:rsidP="009C7E26">
      <w:pPr>
        <w:pStyle w:val="Default"/>
        <w:jc w:val="both"/>
        <w:rPr>
          <w:rFonts w:asciiTheme="minorHAnsi" w:hAnsiTheme="minorHAnsi" w:cstheme="minorHAnsi"/>
          <w:color w:val="auto"/>
          <w:sz w:val="23"/>
          <w:szCs w:val="23"/>
        </w:rPr>
      </w:pPr>
    </w:p>
    <w:p w:rsidR="00671AD8" w:rsidRPr="00AE0DF1" w:rsidRDefault="00EF65FD">
      <w:pPr>
        <w:pStyle w:val="Default"/>
        <w:ind w:left="708" w:hanging="708"/>
        <w:rPr>
          <w:rFonts w:asciiTheme="minorHAnsi" w:hAnsiTheme="minorHAnsi" w:cstheme="minorHAnsi"/>
          <w:color w:val="auto"/>
          <w:sz w:val="23"/>
          <w:szCs w:val="23"/>
        </w:rPr>
      </w:pPr>
      <w:r w:rsidRPr="00AE0DF1">
        <w:rPr>
          <w:rFonts w:asciiTheme="minorHAnsi" w:hAnsiTheme="minorHAnsi" w:cstheme="minorHAnsi"/>
          <w:color w:val="auto"/>
          <w:sz w:val="23"/>
          <w:szCs w:val="23"/>
        </w:rPr>
        <w:t>Objektová skladba:</w:t>
      </w:r>
      <w:r w:rsidRPr="00AE0DF1">
        <w:rPr>
          <w:rFonts w:asciiTheme="minorHAnsi" w:hAnsiTheme="minorHAnsi" w:cstheme="minorHAnsi"/>
          <w:color w:val="auto"/>
          <w:sz w:val="23"/>
          <w:szCs w:val="23"/>
        </w:rPr>
        <w:tab/>
        <w:t>SO</w:t>
      </w:r>
      <w:r w:rsidR="00671AD8" w:rsidRPr="00AE0DF1">
        <w:rPr>
          <w:rFonts w:asciiTheme="minorHAnsi" w:hAnsiTheme="minorHAnsi" w:cstheme="minorHAnsi"/>
          <w:color w:val="auto"/>
          <w:sz w:val="23"/>
          <w:szCs w:val="23"/>
        </w:rPr>
        <w:t xml:space="preserve"> 01</w:t>
      </w:r>
      <w:r w:rsidR="00671AD8" w:rsidRPr="00AE0DF1">
        <w:rPr>
          <w:rFonts w:asciiTheme="minorHAnsi" w:hAnsiTheme="minorHAnsi" w:cstheme="minorHAnsi"/>
          <w:color w:val="auto"/>
          <w:sz w:val="23"/>
          <w:szCs w:val="23"/>
        </w:rPr>
        <w:tab/>
        <w:t>Rekonstrukce Národního domu</w:t>
      </w:r>
    </w:p>
    <w:p w:rsidR="00D62400" w:rsidRPr="00AE0DF1" w:rsidRDefault="00EF65FD">
      <w:pPr>
        <w:pStyle w:val="Default"/>
        <w:ind w:left="2124" w:firstLine="6"/>
        <w:rPr>
          <w:rFonts w:asciiTheme="minorHAnsi" w:hAnsiTheme="minorHAnsi" w:cstheme="minorHAnsi"/>
          <w:color w:val="auto"/>
          <w:sz w:val="23"/>
          <w:szCs w:val="23"/>
        </w:rPr>
      </w:pPr>
      <w:r w:rsidRPr="00AE0DF1">
        <w:rPr>
          <w:rFonts w:asciiTheme="minorHAnsi" w:hAnsiTheme="minorHAnsi" w:cstheme="minorHAnsi"/>
          <w:color w:val="auto"/>
          <w:sz w:val="23"/>
          <w:szCs w:val="23"/>
        </w:rPr>
        <w:t xml:space="preserve">SO 02 </w:t>
      </w:r>
      <w:r w:rsidRPr="00AE0DF1">
        <w:rPr>
          <w:rFonts w:asciiTheme="minorHAnsi" w:hAnsiTheme="minorHAnsi" w:cstheme="minorHAnsi"/>
          <w:color w:val="auto"/>
          <w:sz w:val="23"/>
          <w:szCs w:val="23"/>
        </w:rPr>
        <w:tab/>
        <w:t>Rekonstrukce bývalé budovy Moravia banky</w:t>
      </w:r>
      <w:r w:rsidR="00671AD8" w:rsidRPr="00AE0DF1">
        <w:rPr>
          <w:rFonts w:asciiTheme="minorHAnsi" w:hAnsiTheme="minorHAnsi" w:cstheme="minorHAnsi"/>
          <w:color w:val="auto"/>
          <w:sz w:val="23"/>
          <w:szCs w:val="23"/>
        </w:rPr>
        <w:br/>
        <w:t xml:space="preserve">SO 03 </w:t>
      </w:r>
      <w:r w:rsidR="00D62400" w:rsidRPr="00AE0DF1">
        <w:rPr>
          <w:rFonts w:asciiTheme="minorHAnsi" w:hAnsiTheme="minorHAnsi" w:cstheme="minorHAnsi"/>
          <w:color w:val="auto"/>
          <w:sz w:val="23"/>
          <w:szCs w:val="23"/>
        </w:rPr>
        <w:tab/>
      </w:r>
      <w:r w:rsidR="00671AD8" w:rsidRPr="00AE0DF1">
        <w:rPr>
          <w:rFonts w:asciiTheme="minorHAnsi" w:hAnsiTheme="minorHAnsi" w:cstheme="minorHAnsi"/>
          <w:color w:val="auto"/>
          <w:sz w:val="23"/>
          <w:szCs w:val="23"/>
        </w:rPr>
        <w:t>Přístavba multifunkčního sálu (dlouhodobý výhled)</w:t>
      </w:r>
    </w:p>
    <w:p w:rsidR="00EF65FD" w:rsidRPr="00AE0DF1" w:rsidRDefault="00D62400">
      <w:pPr>
        <w:pStyle w:val="Default"/>
        <w:ind w:left="2124" w:firstLine="6"/>
        <w:rPr>
          <w:rFonts w:asciiTheme="minorHAnsi" w:hAnsiTheme="minorHAnsi" w:cstheme="minorHAnsi"/>
          <w:color w:val="auto"/>
          <w:sz w:val="23"/>
          <w:szCs w:val="23"/>
        </w:rPr>
      </w:pPr>
      <w:r w:rsidRPr="00AE0DF1">
        <w:rPr>
          <w:rFonts w:asciiTheme="minorHAnsi" w:hAnsiTheme="minorHAnsi" w:cstheme="minorHAnsi"/>
          <w:color w:val="auto"/>
          <w:sz w:val="23"/>
          <w:szCs w:val="23"/>
        </w:rPr>
        <w:t>SO 04</w:t>
      </w:r>
      <w:r w:rsidRPr="00AE0DF1">
        <w:rPr>
          <w:rFonts w:asciiTheme="minorHAnsi" w:hAnsiTheme="minorHAnsi" w:cstheme="minorHAnsi"/>
          <w:color w:val="auto"/>
          <w:sz w:val="23"/>
          <w:szCs w:val="23"/>
        </w:rPr>
        <w:tab/>
        <w:t>Rekonstrukce (nebo demolice) garáží a skladů Národního domu</w:t>
      </w:r>
      <w:r w:rsidR="00EF65FD" w:rsidRPr="00AE0DF1">
        <w:rPr>
          <w:rFonts w:asciiTheme="minorHAnsi" w:hAnsiTheme="minorHAnsi" w:cstheme="minorHAnsi"/>
          <w:color w:val="auto"/>
          <w:sz w:val="23"/>
          <w:szCs w:val="23"/>
        </w:rPr>
        <w:br/>
      </w:r>
      <w:r w:rsidRPr="00AE0DF1">
        <w:rPr>
          <w:rFonts w:asciiTheme="minorHAnsi" w:hAnsiTheme="minorHAnsi" w:cstheme="minorHAnsi"/>
          <w:color w:val="auto"/>
          <w:sz w:val="23"/>
          <w:szCs w:val="23"/>
        </w:rPr>
        <w:t xml:space="preserve">SO 05 </w:t>
      </w:r>
      <w:r w:rsidRPr="00AE0DF1">
        <w:rPr>
          <w:rFonts w:asciiTheme="minorHAnsi" w:hAnsiTheme="minorHAnsi" w:cstheme="minorHAnsi"/>
          <w:color w:val="auto"/>
          <w:sz w:val="23"/>
          <w:szCs w:val="23"/>
        </w:rPr>
        <w:tab/>
        <w:t>Dopravní řešení</w:t>
      </w:r>
    </w:p>
    <w:p w:rsidR="00D62400" w:rsidRPr="00AE0DF1" w:rsidRDefault="00D62400" w:rsidP="009C7E26">
      <w:pPr>
        <w:pStyle w:val="Default"/>
        <w:ind w:left="2124" w:firstLine="6"/>
        <w:jc w:val="both"/>
        <w:rPr>
          <w:rFonts w:asciiTheme="minorHAnsi" w:hAnsiTheme="minorHAnsi" w:cstheme="minorHAnsi"/>
          <w:color w:val="auto"/>
          <w:sz w:val="23"/>
          <w:szCs w:val="23"/>
        </w:rPr>
      </w:pPr>
    </w:p>
    <w:p w:rsidR="001E17F2" w:rsidRPr="00F00B71" w:rsidRDefault="00857661" w:rsidP="009C7E26">
      <w:pPr>
        <w:pStyle w:val="Default"/>
        <w:jc w:val="both"/>
        <w:rPr>
          <w:rFonts w:asciiTheme="minorHAnsi" w:hAnsiTheme="minorHAnsi" w:cstheme="minorHAnsi"/>
          <w:color w:val="auto"/>
          <w:sz w:val="23"/>
          <w:szCs w:val="23"/>
        </w:rPr>
      </w:pPr>
      <w:r w:rsidRPr="00AE0DF1">
        <w:rPr>
          <w:rFonts w:asciiTheme="minorHAnsi" w:hAnsiTheme="minorHAnsi" w:cstheme="minorHAnsi"/>
          <w:color w:val="auto"/>
          <w:sz w:val="23"/>
          <w:szCs w:val="23"/>
        </w:rPr>
        <w:t>Budova Národního domu (dále jen ND) a b</w:t>
      </w:r>
      <w:r w:rsidR="001E17F2" w:rsidRPr="00AE0DF1">
        <w:rPr>
          <w:rFonts w:asciiTheme="minorHAnsi" w:hAnsiTheme="minorHAnsi" w:cstheme="minorHAnsi"/>
          <w:color w:val="auto"/>
          <w:sz w:val="23"/>
          <w:szCs w:val="23"/>
        </w:rPr>
        <w:t>udova bývalé Moravia banky (dále jen MOBA)</w:t>
      </w:r>
      <w:r w:rsidR="000F3426" w:rsidRPr="00AE0DF1">
        <w:rPr>
          <w:rFonts w:asciiTheme="minorHAnsi" w:hAnsiTheme="minorHAnsi" w:cstheme="minorHAnsi"/>
          <w:color w:val="auto"/>
          <w:sz w:val="23"/>
          <w:szCs w:val="23"/>
        </w:rPr>
        <w:t xml:space="preserve"> tvoří </w:t>
      </w:r>
      <w:r w:rsidR="001E17F2" w:rsidRPr="00AE0DF1">
        <w:rPr>
          <w:rFonts w:asciiTheme="minorHAnsi" w:hAnsiTheme="minorHAnsi" w:cstheme="minorHAnsi"/>
          <w:color w:val="auto"/>
          <w:sz w:val="23"/>
          <w:szCs w:val="23"/>
        </w:rPr>
        <w:t>je</w:t>
      </w:r>
      <w:r w:rsidR="000F3426" w:rsidRPr="00AE0DF1">
        <w:rPr>
          <w:rFonts w:asciiTheme="minorHAnsi" w:hAnsiTheme="minorHAnsi" w:cstheme="minorHAnsi"/>
          <w:color w:val="auto"/>
          <w:sz w:val="23"/>
          <w:szCs w:val="23"/>
        </w:rPr>
        <w:t>den</w:t>
      </w:r>
      <w:r w:rsidR="001E17F2" w:rsidRPr="00AE0DF1">
        <w:rPr>
          <w:rFonts w:asciiTheme="minorHAnsi" w:hAnsiTheme="minorHAnsi" w:cstheme="minorHAnsi"/>
          <w:color w:val="auto"/>
          <w:sz w:val="23"/>
          <w:szCs w:val="23"/>
        </w:rPr>
        <w:t xml:space="preserve"> komplexu budov, které </w:t>
      </w:r>
      <w:r w:rsidR="004875F0" w:rsidRPr="00AE0DF1">
        <w:rPr>
          <w:rFonts w:asciiTheme="minorHAnsi" w:hAnsiTheme="minorHAnsi" w:cstheme="minorHAnsi"/>
          <w:color w:val="auto"/>
          <w:sz w:val="23"/>
          <w:szCs w:val="23"/>
        </w:rPr>
        <w:t>spravuje „</w:t>
      </w:r>
      <w:r w:rsidR="001E17F2" w:rsidRPr="009C7E26">
        <w:rPr>
          <w:rFonts w:asciiTheme="minorHAnsi" w:hAnsiTheme="minorHAnsi" w:cstheme="minorHAnsi"/>
          <w:color w:val="auto"/>
          <w:sz w:val="23"/>
          <w:szCs w:val="23"/>
        </w:rPr>
        <w:t>příspěvková organizace Národní dům</w:t>
      </w:r>
      <w:r w:rsidR="004875F0" w:rsidRPr="00AE0DF1">
        <w:rPr>
          <w:rFonts w:asciiTheme="minorHAnsi" w:hAnsiTheme="minorHAnsi" w:cstheme="minorHAnsi"/>
          <w:color w:val="auto"/>
          <w:sz w:val="23"/>
          <w:szCs w:val="23"/>
        </w:rPr>
        <w:t xml:space="preserve">“ </w:t>
      </w:r>
      <w:r w:rsidR="001E17F2" w:rsidRPr="00AE0DF1">
        <w:rPr>
          <w:rFonts w:asciiTheme="minorHAnsi" w:hAnsiTheme="minorHAnsi" w:cstheme="minorHAnsi"/>
          <w:color w:val="auto"/>
          <w:sz w:val="23"/>
          <w:szCs w:val="23"/>
        </w:rPr>
        <w:t xml:space="preserve">a využívá k zajišťování kulturních, společenských a volnočasových aktivit ve městě. Záměrem je tedy vznik kulturního </w:t>
      </w:r>
      <w:r w:rsidR="000F3426" w:rsidRPr="00AE0DF1">
        <w:rPr>
          <w:rFonts w:asciiTheme="minorHAnsi" w:hAnsiTheme="minorHAnsi" w:cstheme="minorHAnsi"/>
          <w:color w:val="auto"/>
          <w:sz w:val="23"/>
          <w:szCs w:val="23"/>
        </w:rPr>
        <w:t xml:space="preserve">moderního </w:t>
      </w:r>
      <w:r w:rsidR="001E17F2" w:rsidRPr="00AE0DF1">
        <w:rPr>
          <w:rFonts w:asciiTheme="minorHAnsi" w:hAnsiTheme="minorHAnsi" w:cstheme="minorHAnsi"/>
          <w:color w:val="auto"/>
          <w:sz w:val="23"/>
          <w:szCs w:val="23"/>
        </w:rPr>
        <w:t>centra vhodného pro pořádání divadelních představení, koncertů</w:t>
      </w:r>
      <w:r w:rsidR="001E17F2" w:rsidRPr="00F00B71">
        <w:rPr>
          <w:rFonts w:asciiTheme="minorHAnsi" w:hAnsiTheme="minorHAnsi" w:cstheme="minorHAnsi"/>
          <w:color w:val="auto"/>
          <w:sz w:val="23"/>
          <w:szCs w:val="23"/>
        </w:rPr>
        <w:t>, ale i kongresů, přednášek a výstav.</w:t>
      </w:r>
    </w:p>
    <w:p w:rsidR="00BA7A70"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Od rekonstrukce </w:t>
      </w:r>
      <w:r w:rsidR="0082208C" w:rsidRPr="00F00B71">
        <w:rPr>
          <w:rFonts w:asciiTheme="minorHAnsi" w:hAnsiTheme="minorHAnsi" w:cstheme="minorHAnsi"/>
          <w:color w:val="auto"/>
          <w:sz w:val="23"/>
          <w:szCs w:val="23"/>
        </w:rPr>
        <w:t>obou objektů</w:t>
      </w:r>
      <w:r w:rsidRPr="00F00B71">
        <w:rPr>
          <w:rFonts w:asciiTheme="minorHAnsi" w:hAnsiTheme="minorHAnsi" w:cstheme="minorHAnsi"/>
          <w:color w:val="auto"/>
          <w:sz w:val="23"/>
          <w:szCs w:val="23"/>
        </w:rPr>
        <w:t xml:space="preserve"> zadavatel očekává efektivní a ekonomicky přijatelné provozování činností spojených s kulturou, jehož součástí bude propojení obou objektů M</w:t>
      </w:r>
      <w:r w:rsidR="00BA7A70">
        <w:rPr>
          <w:rFonts w:asciiTheme="minorHAnsi" w:hAnsiTheme="minorHAnsi" w:cstheme="minorHAnsi"/>
          <w:color w:val="auto"/>
          <w:sz w:val="23"/>
          <w:szCs w:val="23"/>
        </w:rPr>
        <w:t>OBA a ND</w:t>
      </w:r>
      <w:r w:rsidRPr="00F00B71">
        <w:rPr>
          <w:rFonts w:asciiTheme="minorHAnsi" w:hAnsiTheme="minorHAnsi" w:cstheme="minorHAnsi"/>
          <w:color w:val="auto"/>
          <w:sz w:val="23"/>
          <w:szCs w:val="23"/>
        </w:rPr>
        <w:t xml:space="preserve">, a to minimálně ve dvou nadzemních úrovních. Součástí propojení objektů MOBA čp. 133 a objektu ND čp. 134 bude zbudování společného výtahu pro minimálně 8 osob (současně plnící i funkci nákladního výtahu). </w:t>
      </w:r>
    </w:p>
    <w:p w:rsidR="004940D1"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Požadovaný rozsah rekonstrukce ob</w:t>
      </w:r>
      <w:r w:rsidR="00435717" w:rsidRPr="00F00B71">
        <w:rPr>
          <w:rFonts w:asciiTheme="minorHAnsi" w:hAnsiTheme="minorHAnsi" w:cstheme="minorHAnsi"/>
          <w:color w:val="auto"/>
          <w:sz w:val="23"/>
          <w:szCs w:val="23"/>
        </w:rPr>
        <w:t xml:space="preserve">jektu je popsán dále pod bodem </w:t>
      </w:r>
      <w:r w:rsidRPr="00F00B71">
        <w:rPr>
          <w:rFonts w:asciiTheme="minorHAnsi" w:hAnsiTheme="minorHAnsi" w:cstheme="minorHAnsi"/>
          <w:bCs/>
          <w:color w:val="auto"/>
          <w:sz w:val="23"/>
          <w:szCs w:val="23"/>
        </w:rPr>
        <w:t xml:space="preserve">3. NÁVRH ZADÁNÍ/Stavební program - </w:t>
      </w:r>
      <w:r w:rsidR="0082208C" w:rsidRPr="00F00B71">
        <w:rPr>
          <w:rFonts w:asciiTheme="minorHAnsi" w:hAnsiTheme="minorHAnsi" w:cstheme="minorHAnsi"/>
          <w:bCs/>
          <w:color w:val="auto"/>
          <w:sz w:val="23"/>
          <w:szCs w:val="23"/>
          <w:u w:val="single"/>
        </w:rPr>
        <w:t xml:space="preserve">3.1. </w:t>
      </w:r>
      <w:r w:rsidR="00857661" w:rsidRPr="00F00B71">
        <w:rPr>
          <w:rFonts w:asciiTheme="minorHAnsi" w:hAnsiTheme="minorHAnsi" w:cstheme="minorHAnsi"/>
          <w:bCs/>
          <w:color w:val="auto"/>
          <w:sz w:val="23"/>
          <w:szCs w:val="23"/>
          <w:u w:val="single"/>
        </w:rPr>
        <w:t>Objekt ND – čp. 134</w:t>
      </w:r>
      <w:r w:rsidR="004940D1" w:rsidRPr="00F00B71">
        <w:rPr>
          <w:rFonts w:asciiTheme="minorHAnsi" w:hAnsiTheme="minorHAnsi" w:cstheme="minorHAnsi"/>
          <w:bCs/>
          <w:color w:val="auto"/>
          <w:sz w:val="23"/>
          <w:szCs w:val="23"/>
        </w:rPr>
        <w:t>,</w:t>
      </w:r>
      <w:r w:rsidR="0082208C" w:rsidRPr="00F00B71">
        <w:rPr>
          <w:rFonts w:asciiTheme="minorHAnsi" w:hAnsiTheme="minorHAnsi" w:cstheme="minorHAnsi"/>
          <w:bCs/>
          <w:color w:val="auto"/>
          <w:sz w:val="23"/>
          <w:szCs w:val="23"/>
        </w:rPr>
        <w:t xml:space="preserve"> </w:t>
      </w:r>
      <w:r w:rsidR="0082208C" w:rsidRPr="00F00B71">
        <w:rPr>
          <w:rFonts w:asciiTheme="minorHAnsi" w:hAnsiTheme="minorHAnsi" w:cstheme="minorHAnsi"/>
          <w:bCs/>
          <w:color w:val="auto"/>
          <w:sz w:val="23"/>
          <w:szCs w:val="23"/>
          <w:u w:val="single"/>
        </w:rPr>
        <w:t>3.2.</w:t>
      </w:r>
      <w:r w:rsidR="00857661" w:rsidRPr="00F00B71">
        <w:rPr>
          <w:rFonts w:asciiTheme="minorHAnsi" w:hAnsiTheme="minorHAnsi" w:cstheme="minorHAnsi"/>
          <w:bCs/>
          <w:color w:val="auto"/>
          <w:sz w:val="23"/>
          <w:szCs w:val="23"/>
          <w:u w:val="single"/>
        </w:rPr>
        <w:t xml:space="preserve"> Objekt MOBA - čp. 133</w:t>
      </w:r>
      <w:r w:rsidR="004940D1" w:rsidRPr="00F00B71">
        <w:rPr>
          <w:rFonts w:asciiTheme="minorHAnsi" w:hAnsiTheme="minorHAnsi" w:cstheme="minorHAnsi"/>
          <w:bCs/>
          <w:color w:val="auto"/>
          <w:sz w:val="23"/>
          <w:szCs w:val="23"/>
        </w:rPr>
        <w:t xml:space="preserve"> a </w:t>
      </w:r>
      <w:r w:rsidR="004940D1" w:rsidRPr="00F00B71">
        <w:rPr>
          <w:rFonts w:asciiTheme="minorHAnsi" w:hAnsiTheme="minorHAnsi" w:cstheme="minorHAnsi"/>
          <w:color w:val="auto"/>
          <w:sz w:val="23"/>
          <w:szCs w:val="23"/>
          <w:u w:val="single"/>
        </w:rPr>
        <w:t>3.3. Venkovní zpevněné a parkovací plochy, komunikace</w:t>
      </w:r>
      <w:r w:rsidR="004940D1" w:rsidRPr="00F00B71">
        <w:rPr>
          <w:rFonts w:asciiTheme="minorHAnsi" w:hAnsiTheme="minorHAnsi" w:cstheme="minorHAnsi"/>
          <w:color w:val="auto"/>
          <w:sz w:val="23"/>
          <w:szCs w:val="23"/>
        </w:rPr>
        <w:t>.</w:t>
      </w:r>
    </w:p>
    <w:p w:rsidR="001E17F2" w:rsidRPr="00F00B71" w:rsidRDefault="001E17F2" w:rsidP="009C7E26">
      <w:pPr>
        <w:pStyle w:val="Default"/>
        <w:jc w:val="both"/>
        <w:rPr>
          <w:rFonts w:asciiTheme="minorHAnsi" w:hAnsiTheme="minorHAnsi" w:cstheme="minorHAnsi"/>
          <w:color w:val="auto"/>
          <w:sz w:val="23"/>
          <w:szCs w:val="23"/>
        </w:rPr>
      </w:pPr>
    </w:p>
    <w:p w:rsidR="001E17F2" w:rsidRPr="00F00B71" w:rsidRDefault="00671AD8"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Rekonstrukce objektu</w:t>
      </w:r>
      <w:r w:rsidR="0063092F" w:rsidRPr="00F00B71">
        <w:rPr>
          <w:rFonts w:asciiTheme="minorHAnsi" w:hAnsiTheme="minorHAnsi" w:cstheme="minorHAnsi"/>
          <w:color w:val="auto"/>
          <w:sz w:val="23"/>
          <w:szCs w:val="23"/>
        </w:rPr>
        <w:t xml:space="preserve"> ND</w:t>
      </w:r>
      <w:r w:rsidRPr="00F00B71">
        <w:rPr>
          <w:rFonts w:asciiTheme="minorHAnsi" w:hAnsiTheme="minorHAnsi" w:cstheme="minorHAnsi"/>
          <w:color w:val="auto"/>
          <w:sz w:val="23"/>
          <w:szCs w:val="23"/>
        </w:rPr>
        <w:t xml:space="preserve"> by měla </w:t>
      </w:r>
      <w:r w:rsidR="00013448" w:rsidRPr="00F00B71">
        <w:rPr>
          <w:rFonts w:asciiTheme="minorHAnsi" w:hAnsiTheme="minorHAnsi" w:cstheme="minorHAnsi"/>
          <w:color w:val="auto"/>
          <w:sz w:val="23"/>
          <w:szCs w:val="23"/>
        </w:rPr>
        <w:t>zohlednit i možnou přístavbu multifunkčního sálu (viz příloha č.6)</w:t>
      </w:r>
      <w:r w:rsidR="0063092F" w:rsidRPr="00F00B71">
        <w:rPr>
          <w:rFonts w:asciiTheme="minorHAnsi" w:hAnsiTheme="minorHAnsi" w:cstheme="minorHAnsi"/>
          <w:color w:val="auto"/>
          <w:sz w:val="23"/>
          <w:szCs w:val="23"/>
        </w:rPr>
        <w:t>, a to</w:t>
      </w:r>
      <w:r w:rsidR="00013448" w:rsidRPr="00F00B71">
        <w:rPr>
          <w:rFonts w:asciiTheme="minorHAnsi" w:hAnsiTheme="minorHAnsi" w:cstheme="minorHAnsi"/>
          <w:color w:val="auto"/>
          <w:sz w:val="23"/>
          <w:szCs w:val="23"/>
        </w:rPr>
        <w:t xml:space="preserve"> zejména z hlediska kapacity stravovacího zařízení. </w:t>
      </w:r>
    </w:p>
    <w:p w:rsidR="00013448" w:rsidRPr="00F00B71" w:rsidRDefault="00013448" w:rsidP="009C7E26">
      <w:pPr>
        <w:autoSpaceDE w:val="0"/>
        <w:autoSpaceDN w:val="0"/>
        <w:adjustRightInd w:val="0"/>
        <w:spacing w:after="0" w:line="241" w:lineRule="atLeast"/>
        <w:jc w:val="both"/>
        <w:rPr>
          <w:rFonts w:cstheme="minorHAnsi"/>
          <w:sz w:val="23"/>
          <w:szCs w:val="23"/>
        </w:rPr>
      </w:pPr>
      <w:r w:rsidRPr="00F00B71">
        <w:rPr>
          <w:rFonts w:cstheme="minorHAnsi"/>
          <w:sz w:val="23"/>
          <w:szCs w:val="23"/>
        </w:rPr>
        <w:t xml:space="preserve">Přístavba </w:t>
      </w:r>
      <w:r w:rsidR="00511230" w:rsidRPr="00F00B71">
        <w:rPr>
          <w:rFonts w:cstheme="minorHAnsi"/>
          <w:sz w:val="23"/>
          <w:szCs w:val="23"/>
        </w:rPr>
        <w:t xml:space="preserve">multifunkčního sálu </w:t>
      </w:r>
      <w:r w:rsidRPr="00F00B71">
        <w:rPr>
          <w:rFonts w:cstheme="minorHAnsi"/>
          <w:sz w:val="23"/>
          <w:szCs w:val="23"/>
        </w:rPr>
        <w:t>má</w:t>
      </w:r>
      <w:r w:rsidR="0063092F" w:rsidRPr="00F00B71">
        <w:rPr>
          <w:rFonts w:cstheme="minorHAnsi"/>
          <w:sz w:val="23"/>
          <w:szCs w:val="23"/>
        </w:rPr>
        <w:t xml:space="preserve"> navržen</w:t>
      </w:r>
      <w:r w:rsidRPr="00F00B71">
        <w:rPr>
          <w:rFonts w:cstheme="minorHAnsi"/>
          <w:sz w:val="23"/>
          <w:szCs w:val="23"/>
        </w:rPr>
        <w:t xml:space="preserve"> velký sál o kapaci</w:t>
      </w:r>
      <w:r w:rsidR="0063092F" w:rsidRPr="00F00B71">
        <w:rPr>
          <w:rFonts w:cstheme="minorHAnsi"/>
          <w:sz w:val="23"/>
          <w:szCs w:val="23"/>
        </w:rPr>
        <w:t>tě 439 míst a malý sál 81 míst.</w:t>
      </w:r>
    </w:p>
    <w:p w:rsidR="004940D1" w:rsidRPr="00F00B71" w:rsidRDefault="004940D1" w:rsidP="009C7E26">
      <w:pPr>
        <w:pStyle w:val="Default"/>
        <w:jc w:val="both"/>
        <w:rPr>
          <w:rFonts w:asciiTheme="minorHAnsi" w:hAnsiTheme="minorHAnsi" w:cstheme="minorHAnsi"/>
          <w:b/>
          <w:bCs/>
          <w:color w:val="auto"/>
          <w:sz w:val="23"/>
          <w:szCs w:val="23"/>
        </w:rPr>
      </w:pPr>
    </w:p>
    <w:p w:rsidR="001E17F2" w:rsidRPr="00F00B71" w:rsidRDefault="001E17F2" w:rsidP="009C7E26">
      <w:pPr>
        <w:pStyle w:val="Default"/>
        <w:jc w:val="both"/>
        <w:rPr>
          <w:rFonts w:asciiTheme="minorHAnsi" w:hAnsiTheme="minorHAnsi" w:cstheme="minorHAnsi"/>
          <w:color w:val="auto"/>
          <w:sz w:val="26"/>
          <w:szCs w:val="26"/>
        </w:rPr>
      </w:pPr>
      <w:r w:rsidRPr="00F00B71">
        <w:rPr>
          <w:rFonts w:asciiTheme="minorHAnsi" w:hAnsiTheme="minorHAnsi" w:cstheme="minorHAnsi"/>
          <w:b/>
          <w:bCs/>
          <w:color w:val="auto"/>
          <w:sz w:val="26"/>
          <w:szCs w:val="26"/>
        </w:rPr>
        <w:t xml:space="preserve">2. ŘEŠENÉ ÚZEMÍ </w:t>
      </w:r>
    </w:p>
    <w:p w:rsidR="001E17F2" w:rsidRPr="00F00B71" w:rsidRDefault="001E17F2" w:rsidP="009C7E26">
      <w:pPr>
        <w:pStyle w:val="Default"/>
        <w:jc w:val="both"/>
        <w:rPr>
          <w:rFonts w:asciiTheme="minorHAnsi" w:hAnsiTheme="minorHAnsi" w:cstheme="minorHAnsi"/>
          <w:color w:val="auto"/>
          <w:sz w:val="23"/>
          <w:szCs w:val="23"/>
        </w:rPr>
      </w:pPr>
    </w:p>
    <w:p w:rsidR="001E17F2" w:rsidRPr="00F00B71" w:rsidRDefault="001E17F2" w:rsidP="009C7E26">
      <w:pPr>
        <w:pStyle w:val="Default"/>
        <w:jc w:val="both"/>
        <w:rPr>
          <w:rFonts w:asciiTheme="minorHAnsi" w:hAnsiTheme="minorHAnsi" w:cstheme="minorHAnsi"/>
          <w:color w:val="auto"/>
          <w:sz w:val="23"/>
          <w:szCs w:val="23"/>
          <w:u w:val="single"/>
        </w:rPr>
      </w:pPr>
      <w:r w:rsidRPr="00F00B71">
        <w:rPr>
          <w:rFonts w:asciiTheme="minorHAnsi" w:hAnsiTheme="minorHAnsi" w:cstheme="minorHAnsi"/>
          <w:b/>
          <w:bCs/>
          <w:color w:val="auto"/>
          <w:sz w:val="23"/>
          <w:szCs w:val="23"/>
          <w:u w:val="single"/>
        </w:rPr>
        <w:t xml:space="preserve">2.1. Umístění stavby/pozemků dle katastrálních předpisů </w:t>
      </w:r>
    </w:p>
    <w:p w:rsidR="002D5407" w:rsidRPr="00F00B71" w:rsidRDefault="002D5407"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a) ND - budova čp. 134 v obci Frýdek-Místek, části obce Místek, je umístěn na pozemku parcelní číslo 215/2. </w:t>
      </w:r>
      <w:r w:rsidRPr="00F00B71">
        <w:rPr>
          <w:rFonts w:asciiTheme="minorHAnsi" w:hAnsiTheme="minorHAnsi" w:cstheme="minorHAnsi"/>
          <w:color w:val="auto"/>
          <w:sz w:val="23"/>
          <w:szCs w:val="23"/>
        </w:rPr>
        <w:br/>
        <w:t xml:space="preserve">Objekt ND se nenachází v památkové zóně, ale je kulturní památkou, a je památkově chráněn. </w:t>
      </w:r>
      <w:r w:rsidRPr="00F00B71">
        <w:rPr>
          <w:rFonts w:asciiTheme="minorHAnsi" w:hAnsiTheme="minorHAnsi" w:cstheme="minorHAnsi"/>
          <w:color w:val="auto"/>
          <w:sz w:val="23"/>
          <w:szCs w:val="23"/>
        </w:rPr>
        <w:br/>
        <w:t>V Ústředním seznamu kulturních památek je evidován pod číslem 12355/8-3959.</w:t>
      </w:r>
    </w:p>
    <w:p w:rsidR="001E17F2" w:rsidRPr="00F00B71" w:rsidRDefault="002D5407"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b</w:t>
      </w:r>
      <w:r w:rsidR="001E17F2" w:rsidRPr="00F00B71">
        <w:rPr>
          <w:rFonts w:asciiTheme="minorHAnsi" w:hAnsiTheme="minorHAnsi" w:cstheme="minorHAnsi"/>
          <w:color w:val="auto"/>
          <w:sz w:val="23"/>
          <w:szCs w:val="23"/>
        </w:rPr>
        <w:t xml:space="preserve">) MOBA - </w:t>
      </w:r>
      <w:r w:rsidRPr="00F00B71">
        <w:rPr>
          <w:rFonts w:asciiTheme="minorHAnsi" w:hAnsiTheme="minorHAnsi" w:cstheme="minorHAnsi"/>
          <w:color w:val="auto"/>
          <w:sz w:val="23"/>
          <w:szCs w:val="23"/>
        </w:rPr>
        <w:t>budova</w:t>
      </w:r>
      <w:r w:rsidR="001E17F2" w:rsidRPr="00F00B71">
        <w:rPr>
          <w:rFonts w:asciiTheme="minorHAnsi" w:hAnsiTheme="minorHAnsi" w:cstheme="minorHAnsi"/>
          <w:color w:val="auto"/>
          <w:sz w:val="23"/>
          <w:szCs w:val="23"/>
        </w:rPr>
        <w:t xml:space="preserve"> čp. 133, v obci Frýdek-Místek, části obce Místek, je umístěn na části pozemku parcelní číslo 213. </w:t>
      </w:r>
    </w:p>
    <w:p w:rsidR="001E17F2" w:rsidRPr="00F00B71" w:rsidRDefault="001E17F2"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Objekt se nenachází v památkové zóně a není památkově chráněn.</w:t>
      </w:r>
    </w:p>
    <w:p w:rsidR="001E17F2" w:rsidRPr="00F00B71" w:rsidRDefault="001E17F2" w:rsidP="009C7E26">
      <w:pPr>
        <w:pStyle w:val="Default"/>
        <w:spacing w:after="22"/>
        <w:jc w:val="both"/>
        <w:rPr>
          <w:rFonts w:asciiTheme="minorHAnsi" w:hAnsiTheme="minorHAnsi" w:cstheme="minorHAnsi"/>
          <w:color w:val="auto"/>
          <w:sz w:val="23"/>
          <w:szCs w:val="23"/>
        </w:rPr>
      </w:pPr>
    </w:p>
    <w:p w:rsidR="002D5407" w:rsidRPr="00F00B71" w:rsidRDefault="002D5407" w:rsidP="009C7E26">
      <w:pPr>
        <w:pStyle w:val="Default"/>
        <w:jc w:val="both"/>
        <w:rPr>
          <w:rFonts w:asciiTheme="minorHAnsi" w:hAnsiTheme="minorHAnsi" w:cstheme="minorHAnsi"/>
          <w:color w:val="auto"/>
          <w:u w:val="single"/>
        </w:rPr>
      </w:pPr>
      <w:r w:rsidRPr="00F00B71">
        <w:rPr>
          <w:rFonts w:asciiTheme="minorHAnsi" w:hAnsiTheme="minorHAnsi" w:cstheme="minorHAnsi"/>
          <w:b/>
          <w:bCs/>
          <w:color w:val="auto"/>
          <w:u w:val="single"/>
        </w:rPr>
        <w:t xml:space="preserve">2.2. Právní vztahy k řešenému území </w:t>
      </w:r>
    </w:p>
    <w:p w:rsidR="002D5407" w:rsidRPr="00F00B71" w:rsidRDefault="002D5407"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a) MOBA - objekt čp. 133, v obci Frýdek-Místek, části obce Místek, je umístěn na části pozemku parcelní číslo 213 a je ve výlučném vlastnictví zadavatele. </w:t>
      </w:r>
    </w:p>
    <w:p w:rsidR="00F441B6" w:rsidRPr="00F00B71" w:rsidRDefault="002D5407"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b) ND - objekt čp. 134 v obci Frýdek-Místek, části obce Místek, je umístěn na pozemku parcelní číslo 215/2 a je ve výlučném vlastnictví zadavatele. </w:t>
      </w:r>
    </w:p>
    <w:p w:rsidR="00F441B6" w:rsidRPr="00F00B71" w:rsidRDefault="00F441B6"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c) Pozemky jejichž součástí jsou výše uvedené stavby. Pozemek parcelní číslo 213 (zastavěná plocha a nádvoří), 215/2 (zastavěná plocha a nádvoří) jsou ve výlučném vlastnictví zadavatele.</w:t>
      </w:r>
      <w:r w:rsidR="002D5407" w:rsidRPr="00F00B71">
        <w:rPr>
          <w:rFonts w:asciiTheme="minorHAnsi" w:hAnsiTheme="minorHAnsi" w:cstheme="minorHAnsi"/>
          <w:color w:val="auto"/>
          <w:sz w:val="23"/>
          <w:szCs w:val="23"/>
        </w:rPr>
        <w:br/>
      </w:r>
      <w:r w:rsidRPr="00F00B71">
        <w:rPr>
          <w:rFonts w:asciiTheme="minorHAnsi" w:hAnsiTheme="minorHAnsi" w:cstheme="minorHAnsi"/>
          <w:color w:val="auto"/>
          <w:sz w:val="23"/>
          <w:szCs w:val="23"/>
        </w:rPr>
        <w:t>c) Sousedící pozemky. Pozemek parcelní číslo 259/7 (ostatní plocha), 214 (ostatní plocha), 215/1 (zastavěná plocha a nádvoří), 216/1 (ostatní plocha), 3149 (ostatní plocha) a 3148/1 (ostatní plocha) jsou ve výlučném vlastnictví zadavatele.</w:t>
      </w:r>
      <w:r w:rsidR="00F07DF3" w:rsidRPr="00F00B71">
        <w:rPr>
          <w:rFonts w:asciiTheme="minorHAnsi" w:hAnsiTheme="minorHAnsi" w:cstheme="minorHAnsi"/>
          <w:color w:val="auto"/>
          <w:sz w:val="23"/>
          <w:szCs w:val="23"/>
        </w:rPr>
        <w:t xml:space="preserve"> Na části pozemku parcelní číslo 215/1 stojí budova ve výlučném vlastnictví zhotovitele.</w:t>
      </w:r>
    </w:p>
    <w:p w:rsidR="001E17F2" w:rsidRPr="00F00B71" w:rsidRDefault="001E17F2" w:rsidP="009C7E26">
      <w:pPr>
        <w:pStyle w:val="Default"/>
        <w:spacing w:after="22"/>
        <w:jc w:val="both"/>
        <w:rPr>
          <w:rFonts w:asciiTheme="minorHAnsi" w:hAnsiTheme="minorHAnsi" w:cstheme="minorHAnsi"/>
          <w:color w:val="auto"/>
          <w:sz w:val="23"/>
          <w:szCs w:val="23"/>
        </w:rPr>
      </w:pPr>
    </w:p>
    <w:p w:rsidR="001E17F2" w:rsidRPr="00F00B71" w:rsidRDefault="001E17F2" w:rsidP="009C7E26">
      <w:pPr>
        <w:pStyle w:val="Default"/>
        <w:jc w:val="both"/>
        <w:rPr>
          <w:rFonts w:asciiTheme="minorHAnsi" w:hAnsiTheme="minorHAnsi" w:cstheme="minorHAnsi"/>
          <w:color w:val="auto"/>
          <w:u w:val="single"/>
        </w:rPr>
      </w:pPr>
      <w:r w:rsidRPr="00F00B71">
        <w:rPr>
          <w:rFonts w:asciiTheme="minorHAnsi" w:hAnsiTheme="minorHAnsi" w:cstheme="minorHAnsi"/>
          <w:b/>
          <w:bCs/>
          <w:color w:val="auto"/>
          <w:u w:val="single"/>
        </w:rPr>
        <w:t xml:space="preserve">2.3. Současný stav: </w:t>
      </w:r>
    </w:p>
    <w:p w:rsidR="00AE0DF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b/>
          <w:bCs/>
          <w:color w:val="auto"/>
          <w:sz w:val="23"/>
          <w:szCs w:val="23"/>
        </w:rPr>
        <w:t xml:space="preserve">A/ ND obecný popis objektu čp. 134 </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K slavnostnímu položení základního kamene a zahájení stavby Národního domu došlo 12. května 1896 a stavba předního traktu byla ukončena už v říjnu téhož roku.  </w:t>
      </w:r>
      <w:r w:rsidRPr="00F00B71">
        <w:rPr>
          <w:rFonts w:asciiTheme="minorHAnsi" w:hAnsiTheme="minorHAnsi" w:cstheme="minorHAnsi"/>
          <w:color w:val="auto"/>
          <w:sz w:val="23"/>
          <w:szCs w:val="23"/>
        </w:rPr>
        <w:br/>
        <w:t>V únoru roku 1899 byla zahájena stavba dnešního zadního traktu Národního domu včetně velkého sálu. Stavba byla dokončena v červnu roku 1900.</w:t>
      </w:r>
      <w:r w:rsidRPr="00F00B71">
        <w:rPr>
          <w:rFonts w:asciiTheme="minorHAnsi" w:hAnsiTheme="minorHAnsi" w:cstheme="minorHAnsi"/>
          <w:color w:val="auto"/>
          <w:sz w:val="23"/>
          <w:szCs w:val="23"/>
        </w:rPr>
        <w:br/>
        <w:t>Další dostavba byla realizována v sedmdesátých letech 20. století. V roce 1977 byla zahájena hrubá stavba přístavby, která byla slavnostně otevřena dne 25. ledna 1980. Přístavba je velkou částí frýdecko-místeckých občanů vnímána jako velmi necitlivý zásah do cenné klasicistní stavby.</w:t>
      </w:r>
    </w:p>
    <w:p w:rsidR="00671AD8" w:rsidRPr="00F00B71" w:rsidRDefault="00857661">
      <w:pPr>
        <w:rPr>
          <w:rFonts w:cstheme="minorHAnsi"/>
          <w:sz w:val="23"/>
          <w:szCs w:val="23"/>
        </w:rPr>
      </w:pPr>
      <w:r w:rsidRPr="00F00B71">
        <w:rPr>
          <w:rFonts w:cstheme="minorHAnsi"/>
          <w:sz w:val="23"/>
          <w:szCs w:val="23"/>
        </w:rPr>
        <w:t>Objekt je v současné době plně využíván</w:t>
      </w:r>
      <w:r w:rsidR="00671AD8" w:rsidRPr="00F00B71">
        <w:rPr>
          <w:rFonts w:cstheme="minorHAnsi"/>
          <w:sz w:val="23"/>
          <w:szCs w:val="23"/>
        </w:rPr>
        <w:t>.</w:t>
      </w:r>
      <w:r w:rsidRPr="00F00B71">
        <w:rPr>
          <w:rFonts w:cstheme="minorHAnsi"/>
          <w:sz w:val="23"/>
          <w:szCs w:val="23"/>
        </w:rPr>
        <w:t xml:space="preserve"> </w:t>
      </w:r>
      <w:r w:rsidRPr="00F00B71">
        <w:rPr>
          <w:rFonts w:cstheme="minorHAnsi"/>
          <w:sz w:val="23"/>
          <w:szCs w:val="23"/>
        </w:rPr>
        <w:br/>
      </w:r>
      <w:r w:rsidR="00671AD8" w:rsidRPr="00F00B71">
        <w:rPr>
          <w:rFonts w:cstheme="minorHAnsi"/>
          <w:sz w:val="23"/>
          <w:szCs w:val="23"/>
        </w:rPr>
        <w:t>Stávající kapacita restauračního zařízení (počet míst)           </w:t>
      </w:r>
      <w:r w:rsidR="00AE0DF1">
        <w:rPr>
          <w:rFonts w:cstheme="minorHAnsi"/>
          <w:sz w:val="23"/>
          <w:szCs w:val="23"/>
        </w:rPr>
        <w:tab/>
      </w:r>
      <w:r w:rsidR="00671AD8" w:rsidRPr="00F00B71">
        <w:rPr>
          <w:rFonts w:cstheme="minorHAnsi"/>
          <w:sz w:val="23"/>
          <w:szCs w:val="23"/>
        </w:rPr>
        <w:t>135 míst z toho 44 jídelna Stávající kapacita šatny (stará část ND)                                                    </w:t>
      </w:r>
      <w:r w:rsidR="00AE0DF1">
        <w:rPr>
          <w:rFonts w:cstheme="minorHAnsi"/>
          <w:sz w:val="23"/>
          <w:szCs w:val="23"/>
        </w:rPr>
        <w:tab/>
      </w:r>
      <w:r w:rsidR="00671AD8" w:rsidRPr="00F00B71">
        <w:rPr>
          <w:rFonts w:cstheme="minorHAnsi"/>
          <w:sz w:val="23"/>
          <w:szCs w:val="23"/>
        </w:rPr>
        <w:t>596</w:t>
      </w:r>
      <w:r w:rsidR="00671AD8" w:rsidRPr="00F00B71">
        <w:rPr>
          <w:rFonts w:cstheme="minorHAnsi"/>
          <w:sz w:val="23"/>
          <w:szCs w:val="23"/>
        </w:rPr>
        <w:br/>
      </w:r>
      <w:r w:rsidR="00DA27FE" w:rsidRPr="00F00B71">
        <w:rPr>
          <w:rFonts w:cstheme="minorHAnsi"/>
          <w:sz w:val="23"/>
          <w:szCs w:val="23"/>
        </w:rPr>
        <w:t xml:space="preserve">Stávající kapacita šatny (novodobá </w:t>
      </w:r>
      <w:r w:rsidR="00671AD8" w:rsidRPr="00F00B71">
        <w:rPr>
          <w:rFonts w:cstheme="minorHAnsi"/>
          <w:sz w:val="23"/>
          <w:szCs w:val="23"/>
        </w:rPr>
        <w:t>část ND)                             </w:t>
      </w:r>
      <w:r w:rsidR="00AE0DF1">
        <w:rPr>
          <w:rFonts w:cstheme="minorHAnsi"/>
          <w:sz w:val="23"/>
          <w:szCs w:val="23"/>
        </w:rPr>
        <w:tab/>
        <w:t>4</w:t>
      </w:r>
      <w:r w:rsidR="00671AD8" w:rsidRPr="00F00B71">
        <w:rPr>
          <w:rFonts w:cstheme="minorHAnsi"/>
          <w:sz w:val="23"/>
          <w:szCs w:val="23"/>
        </w:rPr>
        <w:t>01</w:t>
      </w:r>
      <w:r w:rsidR="00671AD8" w:rsidRPr="00F00B71">
        <w:rPr>
          <w:rFonts w:cstheme="minorHAnsi"/>
          <w:sz w:val="23"/>
          <w:szCs w:val="23"/>
        </w:rPr>
        <w:br/>
        <w:t>Stávající kapacita kuchyně (počet jídel – obědy)               vydává se  75/hodina (500 lze celkově vydat)</w:t>
      </w:r>
      <w:r w:rsidR="00671AD8" w:rsidRPr="00F00B71">
        <w:rPr>
          <w:rFonts w:cstheme="minorHAnsi"/>
          <w:sz w:val="23"/>
          <w:szCs w:val="23"/>
        </w:rPr>
        <w:br/>
        <w:t xml:space="preserve">Kapacita prostor (maximální počet návštěvníků pro akce se stravováním)         </w:t>
      </w:r>
      <w:r w:rsidR="00671AD8" w:rsidRPr="00F00B71">
        <w:rPr>
          <w:rFonts w:cstheme="minorHAnsi"/>
          <w:sz w:val="23"/>
          <w:szCs w:val="23"/>
        </w:rPr>
        <w:tab/>
        <w:t>500</w:t>
      </w:r>
      <w:r w:rsidR="00671AD8" w:rsidRPr="00F00B71">
        <w:rPr>
          <w:rFonts w:cstheme="minorHAnsi"/>
          <w:sz w:val="23"/>
          <w:szCs w:val="23"/>
        </w:rPr>
        <w:br/>
        <w:t>Kapacita prostor (maximální počet návštěvníků pro akce bez stravování)     </w:t>
      </w:r>
      <w:r w:rsidR="00671AD8" w:rsidRPr="00F00B71">
        <w:rPr>
          <w:rFonts w:cstheme="minorHAnsi"/>
          <w:sz w:val="23"/>
          <w:szCs w:val="23"/>
        </w:rPr>
        <w:tab/>
        <w:t xml:space="preserve">340 osob velký sál, </w:t>
      </w:r>
      <w:r w:rsidR="00671AD8" w:rsidRPr="00F00B71">
        <w:rPr>
          <w:rFonts w:cstheme="minorHAnsi"/>
          <w:sz w:val="23"/>
          <w:szCs w:val="23"/>
        </w:rPr>
        <w:br/>
        <w:t xml:space="preserve"> </w:t>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t xml:space="preserve">          </w:t>
      </w:r>
      <w:r w:rsidR="00671AD8" w:rsidRPr="00F00B71">
        <w:rPr>
          <w:rFonts w:cstheme="minorHAnsi"/>
          <w:sz w:val="23"/>
          <w:szCs w:val="23"/>
        </w:rPr>
        <w:tab/>
        <w:t xml:space="preserve">128 malý sál, </w:t>
      </w:r>
      <w:r w:rsidR="00671AD8" w:rsidRPr="00F00B71">
        <w:rPr>
          <w:rFonts w:cstheme="minorHAnsi"/>
          <w:sz w:val="23"/>
          <w:szCs w:val="23"/>
        </w:rPr>
        <w:br/>
        <w:t xml:space="preserve">  </w:t>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t xml:space="preserve">  48 výčep, </w:t>
      </w:r>
      <w:r w:rsidR="00671AD8" w:rsidRPr="00F00B71">
        <w:rPr>
          <w:rFonts w:cstheme="minorHAnsi"/>
          <w:sz w:val="23"/>
          <w:szCs w:val="23"/>
        </w:rPr>
        <w:br/>
        <w:t xml:space="preserve"> </w:t>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t xml:space="preserve">  56 dvorana, </w:t>
      </w:r>
      <w:r w:rsidR="00671AD8" w:rsidRPr="00F00B71">
        <w:rPr>
          <w:rFonts w:cstheme="minorHAnsi"/>
          <w:sz w:val="23"/>
          <w:szCs w:val="23"/>
        </w:rPr>
        <w:br/>
        <w:t xml:space="preserve"> </w:t>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r>
      <w:r w:rsidR="00671AD8" w:rsidRPr="00F00B71">
        <w:rPr>
          <w:rFonts w:cstheme="minorHAnsi"/>
          <w:sz w:val="23"/>
          <w:szCs w:val="23"/>
        </w:rPr>
        <w:tab/>
        <w:t xml:space="preserve">                    180 1NP multifunkční sál, Dohromady lze </w:t>
      </w:r>
      <w:r w:rsidR="00EE71D6" w:rsidRPr="00F00B71">
        <w:rPr>
          <w:rFonts w:cstheme="minorHAnsi"/>
          <w:sz w:val="23"/>
          <w:szCs w:val="23"/>
        </w:rPr>
        <w:t xml:space="preserve">v objektu na akcích </w:t>
      </w:r>
      <w:r w:rsidR="00671AD8" w:rsidRPr="00F00B71">
        <w:rPr>
          <w:rFonts w:cstheme="minorHAnsi"/>
          <w:sz w:val="23"/>
          <w:szCs w:val="23"/>
        </w:rPr>
        <w:t>pojmout 800 – 900 osob.</w:t>
      </w:r>
    </w:p>
    <w:p w:rsidR="00857661" w:rsidRPr="00F00B71" w:rsidRDefault="00D67BE9"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Zásobování kuchyně a restaurace se děje z ulice Politických obětí průjezdem přes dvůr ND úzkým průjezdem mezi sálem ND a objektem garáží a skladů. Část zásobování restaurace je také přes hlavní vchod do objektu z ulice Palackého. Stávající zásobování je nevyhovující.</w:t>
      </w:r>
    </w:p>
    <w:p w:rsidR="001E17F2"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b/>
          <w:bCs/>
          <w:color w:val="auto"/>
          <w:sz w:val="23"/>
          <w:szCs w:val="23"/>
        </w:rPr>
        <w:t>B</w:t>
      </w:r>
      <w:r w:rsidR="001E17F2" w:rsidRPr="00F00B71">
        <w:rPr>
          <w:rFonts w:asciiTheme="minorHAnsi" w:hAnsiTheme="minorHAnsi" w:cstheme="minorHAnsi"/>
          <w:b/>
          <w:bCs/>
          <w:color w:val="auto"/>
          <w:sz w:val="23"/>
          <w:szCs w:val="23"/>
        </w:rPr>
        <w:t xml:space="preserve">/MOBA obecný popis objektu čp. 133 </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Původně Národní záložna místecká, kterou navrhnul pražský architekt Bohumil Hübschmann, byla postavena v letech 1927 -1929 jako budova s ryze účelovým 1.NP zařízeným pro prostory záložny a 2.NP, 3.NP a 4.NP jako byty se samostatným vstupem bez propojení na prostory záložny. Stavbu realizoval místecký stavitel Jan Klema.</w:t>
      </w:r>
    </w:p>
    <w:p w:rsidR="001E17F2" w:rsidRPr="00F00B71" w:rsidRDefault="001E17F2" w:rsidP="009C7E26">
      <w:pPr>
        <w:jc w:val="both"/>
        <w:rPr>
          <w:rFonts w:cstheme="minorHAnsi"/>
          <w:sz w:val="23"/>
          <w:szCs w:val="23"/>
        </w:rPr>
      </w:pPr>
      <w:r w:rsidRPr="00F00B71">
        <w:rPr>
          <w:rFonts w:cstheme="minorHAnsi"/>
          <w:sz w:val="23"/>
          <w:szCs w:val="23"/>
        </w:rPr>
        <w:t xml:space="preserve">Fasádu zdobí čtveřice pískovcových soch akademického sochaře Františka Úprky z roku 1927 „Jak staří šetřívali“ vyobrazující spořící beskydské horaly z české i slovenské strany. </w:t>
      </w:r>
      <w:r w:rsidRPr="00F00B71">
        <w:rPr>
          <w:rFonts w:cstheme="minorHAnsi"/>
          <w:sz w:val="23"/>
          <w:szCs w:val="23"/>
        </w:rPr>
        <w:br/>
        <w:t xml:space="preserve">Stavba byla slavnostně otevřena 28. října 1928 u příležitosti desátého výročí vzniku samostatného československého státu. </w:t>
      </w:r>
    </w:p>
    <w:p w:rsidR="001E17F2" w:rsidRPr="00F00B71" w:rsidRDefault="001E17F2" w:rsidP="009C7E26">
      <w:pPr>
        <w:jc w:val="both"/>
        <w:rPr>
          <w:rFonts w:cstheme="minorHAnsi"/>
          <w:sz w:val="23"/>
          <w:szCs w:val="23"/>
        </w:rPr>
      </w:pPr>
      <w:r w:rsidRPr="00F00B71">
        <w:rPr>
          <w:rFonts w:cstheme="minorHAnsi"/>
          <w:sz w:val="23"/>
          <w:szCs w:val="23"/>
        </w:rPr>
        <w:t>V 70. letech byla v 1.NP umístěna pobočka České spořitelny, V roce 1990 byl již objekt Českou spořitelnou opuštěn a 1.NP bylo dáno k dispozici spotřebnímu družstvu JEDNOTA pro zřízení provozovny podniku TUZEX. Z tohoto důvodu byl do původní „bankovní haly“ záložny vytvořen nový vstup z hlavní třídy. Provoz prodejny byl však záhy ukončen. V 90. letech byl objekt přebudován na centrálu Moravia banky, a.s., kdy se přestavbou bytů zřídily kanceláře a prostory pro zázemí banky. Nyní má objekt tři samostatné vstupy.</w:t>
      </w:r>
    </w:p>
    <w:p w:rsidR="00395989" w:rsidRDefault="001E17F2" w:rsidP="009C7E26">
      <w:pPr>
        <w:pStyle w:val="Default"/>
        <w:jc w:val="both"/>
        <w:rPr>
          <w:rFonts w:asciiTheme="minorHAnsi" w:hAnsiTheme="minorHAnsi" w:cstheme="minorHAnsi"/>
          <w:b/>
          <w:bCs/>
          <w:color w:val="auto"/>
          <w:sz w:val="23"/>
          <w:szCs w:val="23"/>
        </w:rPr>
      </w:pPr>
      <w:r w:rsidRPr="00F00B71">
        <w:rPr>
          <w:rFonts w:asciiTheme="minorHAnsi" w:hAnsiTheme="minorHAnsi" w:cstheme="minorHAnsi"/>
          <w:color w:val="auto"/>
          <w:sz w:val="23"/>
          <w:szCs w:val="23"/>
        </w:rPr>
        <w:t>Objekt není od roku 2000 využíván a chátrá.</w:t>
      </w:r>
      <w:r w:rsidR="00AE0DF1">
        <w:rPr>
          <w:rFonts w:asciiTheme="minorHAnsi" w:hAnsiTheme="minorHAnsi" w:cstheme="minorHAnsi"/>
          <w:color w:val="auto"/>
          <w:sz w:val="23"/>
          <w:szCs w:val="23"/>
        </w:rPr>
        <w:t xml:space="preserve"> </w:t>
      </w:r>
      <w:r w:rsidRPr="00F00B71">
        <w:rPr>
          <w:rFonts w:asciiTheme="minorHAnsi" w:hAnsiTheme="minorHAnsi" w:cstheme="minorHAnsi"/>
          <w:color w:val="auto"/>
          <w:sz w:val="23"/>
          <w:szCs w:val="23"/>
        </w:rPr>
        <w:t>V současné době je 1.NP objektu ojediněle částečně</w:t>
      </w:r>
      <w:r w:rsidR="00AE0DF1">
        <w:rPr>
          <w:rFonts w:asciiTheme="minorHAnsi" w:hAnsiTheme="minorHAnsi" w:cstheme="minorHAnsi"/>
          <w:color w:val="auto"/>
          <w:sz w:val="23"/>
          <w:szCs w:val="23"/>
        </w:rPr>
        <w:t xml:space="preserve"> </w:t>
      </w:r>
      <w:r w:rsidRPr="00F00B71">
        <w:rPr>
          <w:rFonts w:asciiTheme="minorHAnsi" w:hAnsiTheme="minorHAnsi" w:cstheme="minorHAnsi"/>
          <w:color w:val="auto"/>
          <w:sz w:val="23"/>
          <w:szCs w:val="23"/>
        </w:rPr>
        <w:t>využíváno pro pořádání výstav a prezentací.</w:t>
      </w:r>
    </w:p>
    <w:p w:rsidR="00AE0DF1" w:rsidRPr="00F00B71" w:rsidRDefault="00AE0DF1" w:rsidP="009C7E26">
      <w:pPr>
        <w:pStyle w:val="Default"/>
        <w:jc w:val="both"/>
        <w:rPr>
          <w:rFonts w:asciiTheme="minorHAnsi" w:hAnsiTheme="minorHAnsi" w:cstheme="minorHAnsi"/>
          <w:b/>
          <w:bCs/>
          <w:color w:val="auto"/>
          <w:sz w:val="23"/>
          <w:szCs w:val="23"/>
        </w:rPr>
      </w:pP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b/>
          <w:bCs/>
          <w:color w:val="auto"/>
          <w:sz w:val="23"/>
          <w:szCs w:val="23"/>
        </w:rPr>
        <w:t>C/ Stručný technický popis objektu čp. 134</w:t>
      </w:r>
    </w:p>
    <w:p w:rsidR="00857661" w:rsidRPr="00F00B71" w:rsidRDefault="00857661" w:rsidP="009C7E26">
      <w:pPr>
        <w:jc w:val="both"/>
        <w:rPr>
          <w:rFonts w:eastAsia="Times New Roman" w:cstheme="minorHAnsi"/>
          <w:sz w:val="23"/>
          <w:szCs w:val="23"/>
        </w:rPr>
      </w:pPr>
      <w:r w:rsidRPr="00F00B71">
        <w:rPr>
          <w:rFonts w:eastAsia="Times New Roman" w:cstheme="minorHAnsi"/>
          <w:sz w:val="23"/>
          <w:szCs w:val="23"/>
        </w:rPr>
        <w:t xml:space="preserve">Technicky a materiálově je objekt ND popsán ve stavebně technickém průzkumu z roku 2017, který je přílohou č. </w:t>
      </w:r>
      <w:r w:rsidR="00395989" w:rsidRPr="00F00B71">
        <w:rPr>
          <w:rFonts w:eastAsia="Times New Roman" w:cstheme="minorHAnsi"/>
          <w:sz w:val="23"/>
          <w:szCs w:val="23"/>
        </w:rPr>
        <w:t>2</w:t>
      </w:r>
      <w:r w:rsidRPr="00F00B71">
        <w:rPr>
          <w:rFonts w:eastAsia="Times New Roman" w:cstheme="minorHAnsi"/>
          <w:sz w:val="23"/>
          <w:szCs w:val="23"/>
        </w:rPr>
        <w:t xml:space="preserve"> tohoto zadání.</w:t>
      </w:r>
    </w:p>
    <w:p w:rsidR="00AE0DF1" w:rsidRDefault="00857661" w:rsidP="009C7E26">
      <w:pPr>
        <w:spacing w:line="240" w:lineRule="atLeast"/>
        <w:jc w:val="both"/>
        <w:rPr>
          <w:rFonts w:eastAsia="Times New Roman" w:cstheme="minorHAnsi"/>
          <w:sz w:val="23"/>
          <w:szCs w:val="23"/>
        </w:rPr>
      </w:pPr>
      <w:r w:rsidRPr="00F00B71">
        <w:rPr>
          <w:rFonts w:eastAsia="Times New Roman" w:cstheme="minorHAnsi"/>
          <w:sz w:val="23"/>
          <w:szCs w:val="23"/>
        </w:rPr>
        <w:t>V objektu neproběhla od roku 1980 žádná celková rekonstrukce. Vnitřní rozvody, okna, střecha, fasády apod. jsou z velké části původní. Nové jsou elektrorozvody, části vnitřní kanalizace a ústřední vytápění.</w:t>
      </w:r>
      <w:r w:rsidR="00D6494E">
        <w:rPr>
          <w:rFonts w:cstheme="minorHAnsi"/>
          <w:b/>
          <w:bCs/>
          <w:sz w:val="23"/>
          <w:szCs w:val="23"/>
        </w:rPr>
        <w:br/>
      </w:r>
      <w:r w:rsidR="00D6494E">
        <w:rPr>
          <w:rFonts w:cstheme="minorHAnsi"/>
          <w:b/>
          <w:bCs/>
          <w:sz w:val="23"/>
          <w:szCs w:val="23"/>
        </w:rPr>
        <w:br/>
      </w:r>
      <w:r w:rsidRPr="00F00B71">
        <w:rPr>
          <w:rFonts w:cstheme="minorHAnsi"/>
          <w:b/>
          <w:bCs/>
          <w:sz w:val="23"/>
          <w:szCs w:val="23"/>
        </w:rPr>
        <w:t>D</w:t>
      </w:r>
      <w:r w:rsidR="001E17F2" w:rsidRPr="00F00B71">
        <w:rPr>
          <w:rFonts w:cstheme="minorHAnsi"/>
          <w:b/>
          <w:bCs/>
          <w:sz w:val="23"/>
          <w:szCs w:val="23"/>
        </w:rPr>
        <w:t>/ Stručný technický popis objektu čp. 133</w:t>
      </w:r>
    </w:p>
    <w:p w:rsidR="001E17F2" w:rsidRPr="00F00B71" w:rsidRDefault="001E17F2" w:rsidP="009C7E26">
      <w:pPr>
        <w:spacing w:line="240" w:lineRule="atLeast"/>
        <w:jc w:val="both"/>
        <w:rPr>
          <w:rFonts w:cstheme="minorHAnsi"/>
          <w:sz w:val="23"/>
          <w:szCs w:val="23"/>
        </w:rPr>
      </w:pPr>
      <w:r w:rsidRPr="00F00B71">
        <w:rPr>
          <w:rFonts w:eastAsia="Times New Roman" w:cstheme="minorHAnsi"/>
          <w:sz w:val="23"/>
          <w:szCs w:val="23"/>
        </w:rPr>
        <w:t xml:space="preserve">Technicky a materiálově je objekt MOBA popsán ve stavebně technickém průzkumu z roku 2018, který je přílohou č. </w:t>
      </w:r>
      <w:r w:rsidR="00395989" w:rsidRPr="00F00B71">
        <w:rPr>
          <w:rFonts w:eastAsia="Times New Roman" w:cstheme="minorHAnsi"/>
          <w:sz w:val="23"/>
          <w:szCs w:val="23"/>
        </w:rPr>
        <w:t>4</w:t>
      </w:r>
      <w:r w:rsidRPr="00F00B71">
        <w:rPr>
          <w:rFonts w:eastAsia="Times New Roman" w:cstheme="minorHAnsi"/>
          <w:sz w:val="23"/>
          <w:szCs w:val="23"/>
        </w:rPr>
        <w:t xml:space="preserve"> tohoto zadání.</w:t>
      </w:r>
    </w:p>
    <w:p w:rsidR="001E17F2" w:rsidRPr="00F00B71" w:rsidRDefault="001E17F2" w:rsidP="009C7E26">
      <w:pPr>
        <w:spacing w:line="240" w:lineRule="atLeast"/>
        <w:jc w:val="both"/>
        <w:rPr>
          <w:rFonts w:eastAsia="Times New Roman" w:cstheme="minorHAnsi"/>
          <w:sz w:val="23"/>
          <w:szCs w:val="23"/>
        </w:rPr>
      </w:pPr>
      <w:r w:rsidRPr="00F00B71">
        <w:rPr>
          <w:rFonts w:eastAsia="Times New Roman" w:cstheme="minorHAnsi"/>
          <w:sz w:val="23"/>
          <w:szCs w:val="23"/>
        </w:rPr>
        <w:t>V objektu neproběhla žádná celková rekonstrukce mimo dispozičních úprav z bytových prostor na prostory kancelářské a zřízení podkrovního bytu, a to cca v letech 1993 -1994. Vnitřní rozvody, okna, střecha,</w:t>
      </w:r>
      <w:r w:rsidR="00B9551D" w:rsidRPr="00F00B71">
        <w:rPr>
          <w:rFonts w:eastAsia="Times New Roman" w:cstheme="minorHAnsi"/>
          <w:sz w:val="23"/>
          <w:szCs w:val="23"/>
        </w:rPr>
        <w:t xml:space="preserve"> fasády apod. jsou původní. Nové jsou</w:t>
      </w:r>
      <w:r w:rsidRPr="00F00B71">
        <w:rPr>
          <w:rFonts w:eastAsia="Times New Roman" w:cstheme="minorHAnsi"/>
          <w:sz w:val="23"/>
          <w:szCs w:val="23"/>
        </w:rPr>
        <w:t xml:space="preserve"> elektrorozvody</w:t>
      </w:r>
      <w:r w:rsidR="00B9551D" w:rsidRPr="00F00B71">
        <w:rPr>
          <w:rFonts w:eastAsia="Times New Roman" w:cstheme="minorHAnsi"/>
          <w:sz w:val="23"/>
          <w:szCs w:val="23"/>
        </w:rPr>
        <w:t xml:space="preserve"> a</w:t>
      </w:r>
      <w:r w:rsidRPr="00F00B71">
        <w:rPr>
          <w:rFonts w:eastAsia="Times New Roman" w:cstheme="minorHAnsi"/>
          <w:sz w:val="23"/>
          <w:szCs w:val="23"/>
        </w:rPr>
        <w:t xml:space="preserve"> vnitřní kanalizace (mimo stoupaček) k sociálním zařízením a kuchyňkám.</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Stavební povolení ze dne 5.11.1992 kolaudace ze dne 8.3.1994. Následně byl ještě v podkrovních (půdních) prostorách zbudován byt správce. V roce 1998 byl objekt napojen na veřejnou kanalizační síť samostatnou přípojkou splaškové kanalizace.</w:t>
      </w:r>
    </w:p>
    <w:p w:rsidR="00EE71D6" w:rsidRPr="00F00B71" w:rsidRDefault="00EE71D6" w:rsidP="009C7E26">
      <w:pPr>
        <w:pStyle w:val="Default"/>
        <w:jc w:val="both"/>
        <w:rPr>
          <w:rFonts w:asciiTheme="minorHAnsi" w:hAnsiTheme="minorHAnsi" w:cstheme="minorHAnsi"/>
          <w:color w:val="auto"/>
          <w:sz w:val="23"/>
          <w:szCs w:val="23"/>
        </w:rPr>
      </w:pPr>
    </w:p>
    <w:p w:rsidR="001E17F2" w:rsidRPr="00F00B71" w:rsidRDefault="001E17F2" w:rsidP="009C7E26">
      <w:pPr>
        <w:pStyle w:val="Default"/>
        <w:jc w:val="both"/>
        <w:rPr>
          <w:rFonts w:asciiTheme="minorHAnsi" w:hAnsiTheme="minorHAnsi" w:cstheme="minorHAnsi"/>
          <w:color w:val="auto"/>
          <w:sz w:val="26"/>
          <w:szCs w:val="26"/>
        </w:rPr>
      </w:pPr>
      <w:r w:rsidRPr="00F00B71">
        <w:rPr>
          <w:rFonts w:asciiTheme="minorHAnsi" w:hAnsiTheme="minorHAnsi" w:cstheme="minorHAnsi"/>
          <w:b/>
          <w:bCs/>
          <w:color w:val="auto"/>
          <w:sz w:val="26"/>
          <w:szCs w:val="26"/>
        </w:rPr>
        <w:t xml:space="preserve">3. NÁVRH ZADÁNÍ / Stavební program </w:t>
      </w:r>
    </w:p>
    <w:p w:rsidR="001E17F2" w:rsidRPr="00F00B71" w:rsidRDefault="001E17F2" w:rsidP="009C7E26">
      <w:pPr>
        <w:pStyle w:val="Default"/>
        <w:jc w:val="both"/>
        <w:rPr>
          <w:rFonts w:asciiTheme="minorHAnsi" w:hAnsiTheme="minorHAnsi" w:cstheme="minorHAnsi"/>
          <w:color w:val="auto"/>
          <w:sz w:val="23"/>
          <w:szCs w:val="23"/>
        </w:rPr>
      </w:pPr>
    </w:p>
    <w:p w:rsidR="00857661" w:rsidRPr="00F00B71" w:rsidRDefault="00857661" w:rsidP="009C7E26">
      <w:pPr>
        <w:pStyle w:val="Default"/>
        <w:jc w:val="both"/>
        <w:rPr>
          <w:rFonts w:asciiTheme="minorHAnsi" w:hAnsiTheme="minorHAnsi" w:cstheme="minorHAnsi"/>
          <w:color w:val="auto"/>
          <w:u w:val="single"/>
        </w:rPr>
      </w:pPr>
      <w:r w:rsidRPr="00F00B71">
        <w:rPr>
          <w:rFonts w:asciiTheme="minorHAnsi" w:hAnsiTheme="minorHAnsi" w:cstheme="minorHAnsi"/>
          <w:b/>
          <w:bCs/>
          <w:color w:val="auto"/>
          <w:u w:val="single"/>
        </w:rPr>
        <w:t>3.1. Objekt ND - čp. 134</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Předpokládá se komplexní rekonstrukce celého objektu, včetně výměny výplní otvorů, nových podlahových konstrukcí, veškerých vnitřních rozvodů, vybavení kuchyně apod., dle současných stavebně technických standardů, tj. aby konstrukčně materiálová charakteristika objektu odpovídající požadavkům na udržitelnou výstavbu. </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Záměrem zadavatele je také minimalizovat energetické náklady na provoz budovy (vytápění, osvětlení). </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Zvolené řešení musí klást důraz na logické uspořádání všech prostor.  </w:t>
      </w:r>
    </w:p>
    <w:p w:rsidR="00857661" w:rsidRPr="00F00B71" w:rsidRDefault="00857661" w:rsidP="009C7E26">
      <w:pPr>
        <w:pStyle w:val="Default"/>
        <w:spacing w:after="22"/>
        <w:jc w:val="both"/>
        <w:rPr>
          <w:rFonts w:asciiTheme="minorHAnsi" w:hAnsiTheme="minorHAnsi" w:cstheme="minorHAnsi"/>
          <w:b/>
          <w:color w:val="auto"/>
          <w:u w:val="single"/>
        </w:rPr>
      </w:pP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Půdorysy ve studii budou navrženy ve dvou variantách (varianta dle zadavatele – viz „Návrh na využití prostor“ a vlastní návrh zpracovatele STUDIE) včetně půdorysů přilehlých prostor MOBA a včetně propojení obou objektů. </w:t>
      </w:r>
      <w:r w:rsidRPr="00F00B71">
        <w:rPr>
          <w:rFonts w:asciiTheme="minorHAnsi" w:hAnsiTheme="minorHAnsi" w:cstheme="minorHAnsi"/>
          <w:color w:val="auto"/>
          <w:sz w:val="23"/>
          <w:szCs w:val="23"/>
        </w:rPr>
        <w:br/>
        <w:t>Součástí návrhu bude i umístění výtahu pro imobilní s kapacitou min 8 osob (bez zajíždění do suterénu). Objekt bude navržen jako bezbariérový, s bezbariérový přístupem do jednotlivých podlaží ND. Výtah dle zadavatele bude na rozhraní obou objektů a může zasáhnout i do půdorysu ND. Variantně navrhne umístění výtahu i zpracovatel STUDIE.</w:t>
      </w:r>
    </w:p>
    <w:p w:rsidR="00857661" w:rsidRPr="00F00B71" w:rsidRDefault="00857661" w:rsidP="009C7E26">
      <w:pPr>
        <w:pStyle w:val="Default"/>
        <w:jc w:val="both"/>
        <w:rPr>
          <w:rFonts w:asciiTheme="minorHAnsi" w:hAnsiTheme="minorHAnsi" w:cstheme="minorHAnsi"/>
          <w:color w:val="auto"/>
          <w:sz w:val="23"/>
          <w:szCs w:val="23"/>
        </w:rPr>
      </w:pP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Objednatel požaduje, aby následná rekonstrukce objektu odstranila zejména zavlhání spodní stavby objektu, stanovila únosnost vodorovných nosných stropních konstrukcí pro potřeby provozu dle současných norem a posunula životnost střešní konstrukce řádově o desítky let. </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Vnitřní schodiště budou ponechána, pokud nebudou překážet umístění propojení obou objektů, umístění výtahu nebo případně navrženým dispozičním změnám</w:t>
      </w:r>
      <w:r w:rsidR="00913DD6" w:rsidRPr="00F00B71">
        <w:rPr>
          <w:rFonts w:asciiTheme="minorHAnsi" w:hAnsiTheme="minorHAnsi" w:cstheme="minorHAnsi"/>
          <w:color w:val="auto"/>
          <w:sz w:val="23"/>
          <w:szCs w:val="23"/>
        </w:rPr>
        <w:t>.</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Hlavní nosné svislé konstrukce budou zachovány, vnější vzhled objektu bude rovněž zachován, s venkovním zateplením objektu se neuvažuje. Dle současných tepelně-technických standardů bude navržena jen úprava střechy včetně nosných konstrukcí krovu tak, aby jeho životnost byla totožná s životností novostavby střechy. Zadavatel uvažuje o provedení nadkrokevní tepelné izolace, která umožní vyniknout replice původní dřevěné konstrukce střechy.</w:t>
      </w:r>
    </w:p>
    <w:p w:rsidR="00857661" w:rsidRPr="00F00B71" w:rsidRDefault="00857661" w:rsidP="009C7E26">
      <w:pPr>
        <w:pStyle w:val="Default"/>
        <w:jc w:val="both"/>
        <w:rPr>
          <w:rFonts w:asciiTheme="minorHAnsi" w:hAnsiTheme="minorHAnsi" w:cstheme="minorHAnsi"/>
          <w:color w:val="auto"/>
          <w:sz w:val="23"/>
          <w:szCs w:val="23"/>
        </w:rPr>
      </w:pPr>
    </w:p>
    <w:p w:rsidR="00AE0DF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Oba dva současné vstupy do objektu ND zůstanou zachovány. Hlavním vstupem do objektu zůstane vstup z ulice Palackého, vedlejším vstupem vstup přes novodobou přístavbu ze zahrady od autobusového stanoviště.</w:t>
      </w:r>
    </w:p>
    <w:p w:rsidR="00857661" w:rsidRPr="00F00B71" w:rsidRDefault="00857661"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Vstup</w:t>
      </w:r>
      <w:r w:rsidR="003C706A" w:rsidRPr="00F00B71">
        <w:rPr>
          <w:rFonts w:asciiTheme="minorHAnsi" w:hAnsiTheme="minorHAnsi" w:cstheme="minorHAnsi"/>
          <w:color w:val="auto"/>
          <w:sz w:val="23"/>
          <w:szCs w:val="23"/>
        </w:rPr>
        <w:t xml:space="preserve"> na dvůr ND </w:t>
      </w:r>
      <w:r w:rsidRPr="00F00B71">
        <w:rPr>
          <w:rFonts w:asciiTheme="minorHAnsi" w:hAnsiTheme="minorHAnsi" w:cstheme="minorHAnsi"/>
          <w:color w:val="auto"/>
          <w:sz w:val="23"/>
          <w:szCs w:val="23"/>
        </w:rPr>
        <w:t>u schodiště sousedícího s</w:t>
      </w:r>
      <w:r w:rsidR="00913DD6" w:rsidRPr="00F00B71">
        <w:rPr>
          <w:rFonts w:asciiTheme="minorHAnsi" w:hAnsiTheme="minorHAnsi" w:cstheme="minorHAnsi"/>
          <w:color w:val="auto"/>
          <w:sz w:val="23"/>
          <w:szCs w:val="23"/>
        </w:rPr>
        <w:t> </w:t>
      </w:r>
      <w:r w:rsidRPr="00F00B71">
        <w:rPr>
          <w:rFonts w:asciiTheme="minorHAnsi" w:hAnsiTheme="minorHAnsi" w:cstheme="minorHAnsi"/>
          <w:color w:val="auto"/>
          <w:sz w:val="23"/>
          <w:szCs w:val="23"/>
        </w:rPr>
        <w:t>MOBA</w:t>
      </w:r>
      <w:r w:rsidR="00913DD6" w:rsidRPr="00F00B71">
        <w:rPr>
          <w:rFonts w:asciiTheme="minorHAnsi" w:hAnsiTheme="minorHAnsi" w:cstheme="minorHAnsi"/>
          <w:color w:val="auto"/>
          <w:sz w:val="23"/>
          <w:szCs w:val="23"/>
        </w:rPr>
        <w:t xml:space="preserve"> bude zrušen z důvodu umístění propojení obou objektů a případně nahrazen vstupem novým v souvislosti se zbudováním výtahu.</w:t>
      </w:r>
    </w:p>
    <w:p w:rsidR="00AE0DF1" w:rsidRDefault="00C7398D" w:rsidP="009C7E26">
      <w:pPr>
        <w:jc w:val="both"/>
        <w:rPr>
          <w:rFonts w:cstheme="minorHAnsi"/>
          <w:sz w:val="23"/>
          <w:szCs w:val="23"/>
        </w:rPr>
      </w:pPr>
      <w:r w:rsidRPr="00F00B71">
        <w:rPr>
          <w:rFonts w:cstheme="minorHAnsi"/>
          <w:sz w:val="23"/>
          <w:szCs w:val="23"/>
        </w:rPr>
        <w:t>Venkovní vstupy do zázemí kuchyně a pro zásobování budou přizpůsobeny případně dispoziční změně nebo rozšíření kuchyně včetně jejího zázemí.</w:t>
      </w:r>
    </w:p>
    <w:p w:rsidR="00AE0DF1" w:rsidRDefault="005B1CD1" w:rsidP="009C7E26">
      <w:pPr>
        <w:jc w:val="both"/>
        <w:rPr>
          <w:rFonts w:cstheme="minorHAnsi"/>
          <w:sz w:val="23"/>
          <w:szCs w:val="23"/>
        </w:rPr>
      </w:pPr>
      <w:r w:rsidRPr="00F00B71">
        <w:rPr>
          <w:rFonts w:cstheme="minorHAnsi"/>
          <w:sz w:val="23"/>
          <w:szCs w:val="23"/>
        </w:rPr>
        <w:t>Požadovaná kapacita restauračního zařízení (počet míst) </w:t>
      </w:r>
      <w:r w:rsidR="00DA27FE" w:rsidRPr="00F00B71">
        <w:rPr>
          <w:rFonts w:cstheme="minorHAnsi"/>
          <w:sz w:val="23"/>
          <w:szCs w:val="23"/>
        </w:rPr>
        <w:t>= stávající</w:t>
      </w:r>
      <w:r w:rsidRPr="00F00B71">
        <w:rPr>
          <w:rFonts w:cstheme="minorHAnsi"/>
          <w:sz w:val="23"/>
          <w:szCs w:val="23"/>
        </w:rPr>
        <w:t xml:space="preserve">               </w:t>
      </w:r>
      <w:r w:rsidR="00176039" w:rsidRPr="00F00B71">
        <w:rPr>
          <w:rFonts w:cstheme="minorHAnsi"/>
          <w:sz w:val="23"/>
          <w:szCs w:val="23"/>
        </w:rPr>
        <w:tab/>
      </w:r>
      <w:r w:rsidR="00176039" w:rsidRPr="00F00B71">
        <w:rPr>
          <w:rFonts w:cstheme="minorHAnsi"/>
          <w:sz w:val="23"/>
          <w:szCs w:val="23"/>
        </w:rPr>
        <w:tab/>
      </w:r>
      <w:r w:rsidRPr="00F00B71">
        <w:rPr>
          <w:rFonts w:cstheme="minorHAnsi"/>
          <w:sz w:val="23"/>
          <w:szCs w:val="23"/>
        </w:rPr>
        <w:t xml:space="preserve">135 </w:t>
      </w:r>
      <w:r w:rsidRPr="00F00B71">
        <w:rPr>
          <w:rFonts w:cstheme="minorHAnsi"/>
          <w:sz w:val="23"/>
          <w:szCs w:val="23"/>
        </w:rPr>
        <w:br/>
        <w:t xml:space="preserve">Požadovaná kapacita šatny (stará část ND)                                                     </w:t>
      </w:r>
      <w:r w:rsidR="00176039" w:rsidRPr="00F00B71">
        <w:rPr>
          <w:rFonts w:cstheme="minorHAnsi"/>
          <w:sz w:val="23"/>
          <w:szCs w:val="23"/>
        </w:rPr>
        <w:tab/>
      </w:r>
      <w:r w:rsidR="00176039" w:rsidRPr="00F00B71">
        <w:rPr>
          <w:rFonts w:cstheme="minorHAnsi"/>
          <w:sz w:val="23"/>
          <w:szCs w:val="23"/>
        </w:rPr>
        <w:tab/>
      </w:r>
      <w:r w:rsidRPr="00F00B71">
        <w:rPr>
          <w:rFonts w:cstheme="minorHAnsi"/>
          <w:sz w:val="23"/>
          <w:szCs w:val="23"/>
        </w:rPr>
        <w:t>650</w:t>
      </w:r>
      <w:r w:rsidRPr="00F00B71">
        <w:rPr>
          <w:rFonts w:cstheme="minorHAnsi"/>
          <w:sz w:val="23"/>
          <w:szCs w:val="23"/>
        </w:rPr>
        <w:br/>
        <w:t xml:space="preserve">Požadovaná kapacita šatny (nová část ND)                                                     </w:t>
      </w:r>
      <w:r w:rsidR="00176039" w:rsidRPr="00F00B71">
        <w:rPr>
          <w:rFonts w:cstheme="minorHAnsi"/>
          <w:sz w:val="23"/>
          <w:szCs w:val="23"/>
        </w:rPr>
        <w:tab/>
      </w:r>
      <w:r w:rsidR="00176039" w:rsidRPr="00F00B71">
        <w:rPr>
          <w:rFonts w:cstheme="minorHAnsi"/>
          <w:sz w:val="23"/>
          <w:szCs w:val="23"/>
        </w:rPr>
        <w:tab/>
      </w:r>
      <w:r w:rsidRPr="00F00B71">
        <w:rPr>
          <w:rFonts w:cstheme="minorHAnsi"/>
          <w:sz w:val="23"/>
          <w:szCs w:val="23"/>
        </w:rPr>
        <w:t>450</w:t>
      </w:r>
      <w:r w:rsidRPr="00F00B71">
        <w:rPr>
          <w:rFonts w:cstheme="minorHAnsi"/>
          <w:sz w:val="23"/>
          <w:szCs w:val="23"/>
        </w:rPr>
        <w:br/>
        <w:t>Požadovaná kapacita kuchyně (počet jídel – obědy)                                      dostačující 100/hodina</w:t>
      </w:r>
      <w:r w:rsidRPr="00F00B71">
        <w:rPr>
          <w:rFonts w:cstheme="minorHAnsi"/>
          <w:sz w:val="23"/>
          <w:szCs w:val="23"/>
        </w:rPr>
        <w:br/>
        <w:t>Kapacita prostor (maximální počet návštěvníků pro akce se stravováním)     </w:t>
      </w:r>
      <w:r w:rsidR="00176039" w:rsidRPr="00F00B71">
        <w:rPr>
          <w:rFonts w:cstheme="minorHAnsi"/>
          <w:sz w:val="23"/>
          <w:szCs w:val="23"/>
        </w:rPr>
        <w:t xml:space="preserve">    </w:t>
      </w:r>
      <w:r w:rsidR="00176039" w:rsidRPr="00F00B71">
        <w:rPr>
          <w:rFonts w:cstheme="minorHAnsi"/>
          <w:sz w:val="23"/>
          <w:szCs w:val="23"/>
        </w:rPr>
        <w:tab/>
      </w:r>
      <w:r w:rsidR="00A85550" w:rsidRPr="00F00B71">
        <w:rPr>
          <w:rFonts w:cstheme="minorHAnsi"/>
          <w:sz w:val="23"/>
          <w:szCs w:val="23"/>
        </w:rPr>
        <w:t>50</w:t>
      </w:r>
      <w:r w:rsidRPr="00F00B71">
        <w:rPr>
          <w:rFonts w:cstheme="minorHAnsi"/>
          <w:sz w:val="23"/>
          <w:szCs w:val="23"/>
        </w:rPr>
        <w:t>0</w:t>
      </w:r>
      <w:r w:rsidR="00A85550" w:rsidRPr="00F00B71">
        <w:rPr>
          <w:rFonts w:cstheme="minorHAnsi"/>
          <w:sz w:val="23"/>
          <w:szCs w:val="23"/>
        </w:rPr>
        <w:br/>
        <w:t xml:space="preserve">Kapacita prostor (maximální počet návštěvníků pro akce se stravováním          </w:t>
      </w:r>
      <w:r w:rsidR="00A85550" w:rsidRPr="00F00B71">
        <w:rPr>
          <w:rFonts w:cstheme="minorHAnsi"/>
          <w:sz w:val="23"/>
          <w:szCs w:val="23"/>
        </w:rPr>
        <w:tab/>
        <w:t xml:space="preserve">660 </w:t>
      </w:r>
      <w:r w:rsidR="00A85550" w:rsidRPr="00F00B71">
        <w:rPr>
          <w:rFonts w:cstheme="minorHAnsi"/>
          <w:sz w:val="23"/>
          <w:szCs w:val="23"/>
        </w:rPr>
        <w:br/>
        <w:t xml:space="preserve">                                dlouhodobý</w:t>
      </w:r>
      <w:r w:rsidR="00AE0DF1">
        <w:rPr>
          <w:rFonts w:cstheme="minorHAnsi"/>
          <w:sz w:val="23"/>
          <w:szCs w:val="23"/>
        </w:rPr>
        <w:t xml:space="preserve"> </w:t>
      </w:r>
      <w:r w:rsidR="00A85550" w:rsidRPr="00F00B71">
        <w:rPr>
          <w:rFonts w:cstheme="minorHAnsi"/>
          <w:sz w:val="23"/>
          <w:szCs w:val="23"/>
        </w:rPr>
        <w:t>výhled)</w:t>
      </w:r>
      <w:r w:rsidR="00AE0DF1">
        <w:rPr>
          <w:rFonts w:cstheme="minorHAnsi"/>
          <w:sz w:val="23"/>
          <w:szCs w:val="23"/>
        </w:rPr>
        <w:t xml:space="preserve"> </w:t>
      </w:r>
    </w:p>
    <w:p w:rsidR="00A85550" w:rsidRPr="00F00B71" w:rsidRDefault="005B1CD1">
      <w:pPr>
        <w:rPr>
          <w:rFonts w:cstheme="minorHAnsi"/>
          <w:sz w:val="23"/>
          <w:szCs w:val="23"/>
        </w:rPr>
      </w:pPr>
      <w:r w:rsidRPr="00F00B71">
        <w:rPr>
          <w:rFonts w:cstheme="minorHAnsi"/>
          <w:sz w:val="23"/>
          <w:szCs w:val="23"/>
        </w:rPr>
        <w:t>Kapacita prostor (maximální počet návštěvníků pro akce bez stravování)     </w:t>
      </w:r>
      <w:r w:rsidR="00176039" w:rsidRPr="00F00B71">
        <w:rPr>
          <w:rFonts w:cstheme="minorHAnsi"/>
          <w:sz w:val="23"/>
          <w:szCs w:val="23"/>
        </w:rPr>
        <w:tab/>
      </w:r>
      <w:r w:rsidRPr="00F00B71">
        <w:rPr>
          <w:rFonts w:cstheme="minorHAnsi"/>
          <w:sz w:val="23"/>
          <w:szCs w:val="23"/>
        </w:rPr>
        <w:t>340 os</w:t>
      </w:r>
      <w:r w:rsidR="00176039" w:rsidRPr="00F00B71">
        <w:rPr>
          <w:rFonts w:cstheme="minorHAnsi"/>
          <w:sz w:val="23"/>
          <w:szCs w:val="23"/>
        </w:rPr>
        <w:t>ob</w:t>
      </w:r>
      <w:r w:rsidRPr="00F00B71">
        <w:rPr>
          <w:rFonts w:cstheme="minorHAnsi"/>
          <w:sz w:val="23"/>
          <w:szCs w:val="23"/>
        </w:rPr>
        <w:t xml:space="preserve"> velký sál, </w:t>
      </w:r>
      <w:r w:rsidR="00176039" w:rsidRPr="00F00B71">
        <w:rPr>
          <w:rFonts w:cstheme="minorHAnsi"/>
          <w:sz w:val="23"/>
          <w:szCs w:val="23"/>
        </w:rPr>
        <w:br/>
        <w:t xml:space="preserve"> </w:t>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t xml:space="preserve">          </w:t>
      </w:r>
      <w:r w:rsidR="00176039" w:rsidRPr="00F00B71">
        <w:rPr>
          <w:rFonts w:cstheme="minorHAnsi"/>
          <w:sz w:val="23"/>
          <w:szCs w:val="23"/>
        </w:rPr>
        <w:tab/>
        <w:t>128 m</w:t>
      </w:r>
      <w:r w:rsidRPr="00F00B71">
        <w:rPr>
          <w:rFonts w:cstheme="minorHAnsi"/>
          <w:sz w:val="23"/>
          <w:szCs w:val="23"/>
        </w:rPr>
        <w:t xml:space="preserve">alý sál, </w:t>
      </w:r>
      <w:r w:rsidR="00176039" w:rsidRPr="00F00B71">
        <w:rPr>
          <w:rFonts w:cstheme="minorHAnsi"/>
          <w:sz w:val="23"/>
          <w:szCs w:val="23"/>
        </w:rPr>
        <w:br/>
        <w:t xml:space="preserve">  </w:t>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t xml:space="preserve">  48 výčep</w:t>
      </w:r>
      <w:r w:rsidRPr="00F00B71">
        <w:rPr>
          <w:rFonts w:cstheme="minorHAnsi"/>
          <w:sz w:val="23"/>
          <w:szCs w:val="23"/>
        </w:rPr>
        <w:t xml:space="preserve">, </w:t>
      </w:r>
      <w:r w:rsidR="00176039" w:rsidRPr="00F00B71">
        <w:rPr>
          <w:rFonts w:cstheme="minorHAnsi"/>
          <w:sz w:val="23"/>
          <w:szCs w:val="23"/>
        </w:rPr>
        <w:br/>
        <w:t xml:space="preserve"> </w:t>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t xml:space="preserve">  56 dvorana</w:t>
      </w:r>
      <w:r w:rsidRPr="00F00B71">
        <w:rPr>
          <w:rFonts w:cstheme="minorHAnsi"/>
          <w:sz w:val="23"/>
          <w:szCs w:val="23"/>
        </w:rPr>
        <w:t xml:space="preserve">, </w:t>
      </w:r>
      <w:r w:rsidR="00176039" w:rsidRPr="00F00B71">
        <w:rPr>
          <w:rFonts w:cstheme="minorHAnsi"/>
          <w:sz w:val="23"/>
          <w:szCs w:val="23"/>
        </w:rPr>
        <w:br/>
        <w:t xml:space="preserve"> </w:t>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r>
      <w:r w:rsidR="00176039" w:rsidRPr="00F00B71">
        <w:rPr>
          <w:rFonts w:cstheme="minorHAnsi"/>
          <w:sz w:val="23"/>
          <w:szCs w:val="23"/>
        </w:rPr>
        <w:tab/>
        <w:t xml:space="preserve">                    180 1NP multifunkční sál</w:t>
      </w:r>
      <w:r w:rsidR="00A85550" w:rsidRPr="00F00B71">
        <w:rPr>
          <w:rFonts w:cstheme="minorHAnsi"/>
          <w:sz w:val="23"/>
          <w:szCs w:val="23"/>
        </w:rPr>
        <w:t>.</w:t>
      </w:r>
      <w:r w:rsidRPr="00F00B71">
        <w:rPr>
          <w:rFonts w:cstheme="minorHAnsi"/>
          <w:sz w:val="23"/>
          <w:szCs w:val="23"/>
        </w:rPr>
        <w:t xml:space="preserve"> </w:t>
      </w:r>
      <w:r w:rsidR="00A85550" w:rsidRPr="00F00B71">
        <w:rPr>
          <w:rFonts w:cstheme="minorHAnsi"/>
          <w:sz w:val="23"/>
          <w:szCs w:val="23"/>
        </w:rPr>
        <w:br/>
        <w:t xml:space="preserve">Přístavba multifunkčního sálu </w:t>
      </w:r>
      <w:r w:rsidR="00A85550" w:rsidRPr="00F00B71">
        <w:rPr>
          <w:rFonts w:cstheme="minorHAnsi"/>
          <w:sz w:val="23"/>
          <w:szCs w:val="23"/>
        </w:rPr>
        <w:tab/>
        <w:t>(dlouhodobý výhled)</w:t>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t>439 velký sál</w:t>
      </w:r>
      <w:r w:rsidR="00461E60">
        <w:rPr>
          <w:rFonts w:cstheme="minorHAnsi"/>
          <w:sz w:val="23"/>
          <w:szCs w:val="23"/>
        </w:rPr>
        <w:t>,</w:t>
      </w:r>
      <w:r w:rsidR="00A85550" w:rsidRPr="00F00B71">
        <w:rPr>
          <w:rFonts w:cstheme="minorHAnsi"/>
          <w:sz w:val="23"/>
          <w:szCs w:val="23"/>
        </w:rPr>
        <w:t xml:space="preserve"> </w:t>
      </w:r>
      <w:r w:rsidR="00A85550" w:rsidRPr="00F00B71">
        <w:rPr>
          <w:rFonts w:cstheme="minorHAnsi"/>
          <w:sz w:val="23"/>
          <w:szCs w:val="23"/>
        </w:rPr>
        <w:br/>
        <w:t xml:space="preserve">  </w:t>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r>
      <w:r w:rsidR="00A85550" w:rsidRPr="00F00B71">
        <w:rPr>
          <w:rFonts w:cstheme="minorHAnsi"/>
          <w:sz w:val="23"/>
          <w:szCs w:val="23"/>
        </w:rPr>
        <w:tab/>
        <w:t xml:space="preserve">   81 malý sál.</w:t>
      </w:r>
    </w:p>
    <w:p w:rsidR="00C7398D" w:rsidRPr="00F00B71" w:rsidRDefault="00176039" w:rsidP="009C7E26">
      <w:pPr>
        <w:jc w:val="both"/>
        <w:rPr>
          <w:rFonts w:cstheme="minorHAnsi"/>
          <w:sz w:val="24"/>
          <w:szCs w:val="24"/>
        </w:rPr>
      </w:pPr>
      <w:r w:rsidRPr="00F00B71">
        <w:rPr>
          <w:rFonts w:cstheme="minorHAnsi"/>
          <w:sz w:val="23"/>
          <w:szCs w:val="23"/>
        </w:rPr>
        <w:t xml:space="preserve">Dohromady </w:t>
      </w:r>
      <w:r w:rsidR="005B1CD1" w:rsidRPr="00F00B71">
        <w:rPr>
          <w:rFonts w:cstheme="minorHAnsi"/>
          <w:sz w:val="23"/>
          <w:szCs w:val="23"/>
        </w:rPr>
        <w:t>lze pojmout 800 – 900 osob</w:t>
      </w:r>
      <w:r w:rsidR="00A85550" w:rsidRPr="00F00B71">
        <w:rPr>
          <w:rFonts w:cstheme="minorHAnsi"/>
          <w:sz w:val="23"/>
          <w:szCs w:val="23"/>
        </w:rPr>
        <w:t xml:space="preserve"> (v dlouhodobém výhledu 1400 osob)</w:t>
      </w:r>
      <w:r w:rsidRPr="00F00B71">
        <w:rPr>
          <w:rFonts w:cstheme="minorHAnsi"/>
          <w:sz w:val="23"/>
          <w:szCs w:val="23"/>
        </w:rPr>
        <w:t>.</w:t>
      </w:r>
      <w:r w:rsidR="00671AD8" w:rsidRPr="00F00B71">
        <w:rPr>
          <w:rFonts w:cstheme="minorHAnsi"/>
          <w:sz w:val="23"/>
          <w:szCs w:val="23"/>
        </w:rPr>
        <w:br/>
      </w:r>
      <w:r w:rsidR="00D67BE9" w:rsidRPr="00F00B71">
        <w:rPr>
          <w:rFonts w:cstheme="minorHAnsi"/>
          <w:sz w:val="24"/>
          <w:szCs w:val="24"/>
        </w:rPr>
        <w:br/>
      </w:r>
    </w:p>
    <w:p w:rsidR="00857661" w:rsidRPr="00F00B71" w:rsidRDefault="00857661" w:rsidP="009C7E26">
      <w:pPr>
        <w:jc w:val="both"/>
        <w:rPr>
          <w:rFonts w:cstheme="minorHAnsi"/>
          <w:b/>
          <w:sz w:val="24"/>
          <w:szCs w:val="24"/>
        </w:rPr>
      </w:pPr>
      <w:r w:rsidRPr="00F00B71">
        <w:rPr>
          <w:rFonts w:cstheme="minorHAnsi"/>
          <w:b/>
          <w:sz w:val="24"/>
          <w:szCs w:val="24"/>
        </w:rPr>
        <w:t xml:space="preserve">Návrh na využití prostor (číslování místností dle zaměření skutečného stavu – viz příloha č. </w:t>
      </w:r>
      <w:r w:rsidR="00395989" w:rsidRPr="00F00B71">
        <w:rPr>
          <w:rFonts w:cstheme="minorHAnsi"/>
          <w:b/>
          <w:sz w:val="24"/>
          <w:szCs w:val="24"/>
        </w:rPr>
        <w:t>1</w:t>
      </w:r>
      <w:r w:rsidRPr="00F00B71">
        <w:rPr>
          <w:rFonts w:cstheme="minorHAnsi"/>
          <w:b/>
          <w:sz w:val="24"/>
          <w:szCs w:val="24"/>
        </w:rPr>
        <w:t>):</w:t>
      </w:r>
    </w:p>
    <w:p w:rsidR="00857661" w:rsidRPr="00F00B71" w:rsidRDefault="00857661" w:rsidP="009C7E26">
      <w:pPr>
        <w:jc w:val="both"/>
        <w:rPr>
          <w:rFonts w:cstheme="minorHAnsi"/>
        </w:rPr>
      </w:pPr>
      <w:r w:rsidRPr="00F00B71">
        <w:rPr>
          <w:rFonts w:cstheme="minorHAnsi"/>
          <w:b/>
        </w:rPr>
        <w:t>1.PP</w:t>
      </w:r>
      <w:r w:rsidRPr="00F00B71">
        <w:rPr>
          <w:rFonts w:cstheme="minorHAnsi"/>
        </w:rPr>
        <w:t xml:space="preserve"> – zvážit možnost zásobování přes suterén pomocí „stávající“ zvedací plošiny přes místnost č. 0.26. Prostory ze strany ul. Palackého co nejvíce otevřít. Jedná se o místnosti č. 0.22, 0.23, 0.24, 0.25, 0.26, 0.27 a 0.28 Nutno mít prostory bez vlhkosti, vytápěné a větrané. </w:t>
      </w:r>
    </w:p>
    <w:p w:rsidR="00857661" w:rsidRPr="00F00B71" w:rsidRDefault="00857661" w:rsidP="009C7E26">
      <w:pPr>
        <w:jc w:val="both"/>
        <w:rPr>
          <w:rFonts w:cstheme="minorHAnsi"/>
        </w:rPr>
      </w:pPr>
      <w:r w:rsidRPr="00F00B71">
        <w:rPr>
          <w:rFonts w:cstheme="minorHAnsi"/>
        </w:rPr>
        <w:t>Prostory v suterénu pod jevištěm (dnes nevyhovující šatny pro účinkující) ponechat jako sklady s možností instalace zvedacího zařízení mezi sklady a jevištěm (doprava klavíru apod.). Jedná se o místností č. 0.01 až 0.16.</w:t>
      </w:r>
    </w:p>
    <w:p w:rsidR="00857661" w:rsidRPr="00F00B71" w:rsidRDefault="00857661" w:rsidP="009C7E26">
      <w:pPr>
        <w:jc w:val="both"/>
        <w:rPr>
          <w:rFonts w:cstheme="minorHAnsi"/>
        </w:rPr>
      </w:pPr>
      <w:r w:rsidRPr="00F00B71">
        <w:rPr>
          <w:rFonts w:cstheme="minorHAnsi"/>
        </w:rPr>
        <w:t xml:space="preserve">Místnosti č. 0.30 až 0.39 ponechat jako zázemí pro restauraci – </w:t>
      </w:r>
      <w:r w:rsidRPr="00F00B71">
        <w:rPr>
          <w:rFonts w:cstheme="minorHAnsi"/>
          <w:bCs/>
        </w:rPr>
        <w:t>schodiště je nevyhovující</w:t>
      </w:r>
      <w:r w:rsidR="005B1CD1" w:rsidRPr="00F00B71">
        <w:rPr>
          <w:rFonts w:cstheme="minorHAnsi"/>
          <w:bCs/>
        </w:rPr>
        <w:br/>
      </w:r>
      <w:r w:rsidRPr="00F00B71">
        <w:rPr>
          <w:rFonts w:cstheme="minorHAnsi"/>
          <w:b/>
        </w:rPr>
        <w:t>1.NP</w:t>
      </w:r>
      <w:r w:rsidRPr="00F00B71">
        <w:rPr>
          <w:rFonts w:cstheme="minorHAnsi"/>
        </w:rPr>
        <w:t xml:space="preserve"> – část stávajícího vstupu, restaurace, předsálí hlavního sálu a hlavní sál zůstanou dispozičně stávající se stávajícím využitím. Jedná se o místnosti č. 1.18, 1.19. Místností č.1.24 až 1.29.</w:t>
      </w:r>
    </w:p>
    <w:p w:rsidR="00857661" w:rsidRPr="00F00B71" w:rsidRDefault="00857661" w:rsidP="009C7E26">
      <w:pPr>
        <w:jc w:val="both"/>
        <w:rPr>
          <w:rFonts w:cstheme="minorHAnsi"/>
        </w:rPr>
      </w:pPr>
      <w:r w:rsidRPr="00F00B71">
        <w:rPr>
          <w:rFonts w:cstheme="minorHAnsi"/>
        </w:rPr>
        <w:t>Zvětšit recepci číslo místnosti 1.31 na úkor kanceláře (tu úplně odstranit). Místnost č. 1.30.</w:t>
      </w:r>
    </w:p>
    <w:p w:rsidR="00857661" w:rsidRPr="00F00B71" w:rsidRDefault="00857661" w:rsidP="009C7E26">
      <w:pPr>
        <w:jc w:val="both"/>
        <w:rPr>
          <w:rFonts w:cstheme="minorHAnsi"/>
        </w:rPr>
      </w:pPr>
      <w:r w:rsidRPr="00F00B71">
        <w:rPr>
          <w:rFonts w:cstheme="minorHAnsi"/>
        </w:rPr>
        <w:t>Nutno řešit nevyhovující sociální zázemí pro restauraci (WC ve více úrovních, kapacita). Jedná se o místnosti č. 1.34 až 1.47. Při případném přesunu těchto toalet do jiných prostor (místností č. 1.32 a 1.33) bude prostor pro potenciální rozšíření kuchyně (místnosti č. 1.50 až 1.57).</w:t>
      </w:r>
    </w:p>
    <w:p w:rsidR="00857661" w:rsidRPr="00F00B71" w:rsidRDefault="00857661" w:rsidP="009C7E26">
      <w:pPr>
        <w:jc w:val="both"/>
        <w:rPr>
          <w:rFonts w:cstheme="minorHAnsi"/>
        </w:rPr>
      </w:pPr>
      <w:r w:rsidRPr="00F00B71">
        <w:rPr>
          <w:rFonts w:cstheme="minorHAnsi"/>
        </w:rPr>
        <w:t>Zájem je o vznik venkovní zahrádky ve dvoře ND s přímým propojením s vnitřní restaurací.</w:t>
      </w:r>
    </w:p>
    <w:p w:rsidR="00857661" w:rsidRPr="00F00B71" w:rsidRDefault="00857661" w:rsidP="009C7E26">
      <w:pPr>
        <w:jc w:val="both"/>
        <w:rPr>
          <w:rFonts w:cstheme="minorHAnsi"/>
        </w:rPr>
      </w:pPr>
      <w:r w:rsidRPr="00F00B71">
        <w:rPr>
          <w:rFonts w:cstheme="minorHAnsi"/>
        </w:rPr>
        <w:t>Nutno řešit zásobování kuchyně ND (viz 1.PP). Stávající zásobování přes dvůr (kolize s uvažovanou zahrádkou).</w:t>
      </w:r>
    </w:p>
    <w:p w:rsidR="00857661" w:rsidRPr="00F00B71" w:rsidRDefault="00857661" w:rsidP="009C7E26">
      <w:pPr>
        <w:jc w:val="both"/>
        <w:rPr>
          <w:rFonts w:cstheme="minorHAnsi"/>
        </w:rPr>
      </w:pPr>
      <w:r w:rsidRPr="00F00B71">
        <w:rPr>
          <w:rFonts w:cstheme="minorHAnsi"/>
        </w:rPr>
        <w:t>Ideál je přesun stávajících šaten místností č. 1.32 a 1.33 do přístavby multifunkčního sálu ND a na jejich místo přesunout sociální zařízení pro restauraci.</w:t>
      </w:r>
    </w:p>
    <w:p w:rsidR="00857661" w:rsidRPr="00F00B71" w:rsidRDefault="00857661" w:rsidP="009C7E26">
      <w:pPr>
        <w:jc w:val="both"/>
        <w:rPr>
          <w:rFonts w:cstheme="minorHAnsi"/>
        </w:rPr>
      </w:pPr>
      <w:r w:rsidRPr="00F00B71">
        <w:rPr>
          <w:rFonts w:cstheme="minorHAnsi"/>
        </w:rPr>
        <w:t>Místnosti č. 1.20. a 1.21 využit jako zázemí jeviště (dnes nevyhovující šatny a sklady). Šatny pro účinkující přesunout do prostor stávající přístavby (místnost č. 1.17 a 1.18). Nutno ponechat koridor pro navážení techniky přes část stávající přístavby.</w:t>
      </w:r>
    </w:p>
    <w:p w:rsidR="00857661" w:rsidRPr="00F00B71" w:rsidRDefault="00857661" w:rsidP="009C7E26">
      <w:pPr>
        <w:jc w:val="both"/>
        <w:rPr>
          <w:rFonts w:cstheme="minorHAnsi"/>
        </w:rPr>
      </w:pPr>
      <w:r w:rsidRPr="00F00B71">
        <w:rPr>
          <w:rFonts w:cstheme="minorHAnsi"/>
          <w:b/>
        </w:rPr>
        <w:t xml:space="preserve">2.NP </w:t>
      </w:r>
      <w:r w:rsidRPr="00F00B71">
        <w:rPr>
          <w:rFonts w:cstheme="minorHAnsi"/>
        </w:rPr>
        <w:t>– maximální propojení stávajících místností (místnosti č. 2.35 až 2.38), zrušit „bývalý“ světlík, odstranit „hluché“ místo u zrenovovaného WC (místnost č. 2.40), protáhnout kancelářské prostory po líc 1.NP kuchyně (do dvora). Zázemí jeviště z prostor místností č. 2.17 a 2.18 přesunout o patro níž do místností č. 1.20 a 1.21.</w:t>
      </w:r>
    </w:p>
    <w:p w:rsidR="00EE71D6" w:rsidRPr="00F00B71" w:rsidRDefault="00857661" w:rsidP="009C7E26">
      <w:pPr>
        <w:jc w:val="both"/>
        <w:rPr>
          <w:rFonts w:cstheme="minorHAnsi"/>
        </w:rPr>
      </w:pPr>
      <w:r w:rsidRPr="00F00B71">
        <w:rPr>
          <w:rFonts w:cstheme="minorHAnsi"/>
          <w:b/>
        </w:rPr>
        <w:t>3.NP</w:t>
      </w:r>
      <w:r w:rsidRPr="00F00B71">
        <w:rPr>
          <w:rFonts w:cstheme="minorHAnsi"/>
        </w:rPr>
        <w:t xml:space="preserve"> – (podkrovní prostory) – z hlediska prodloužení životnosti stávajících částí dřevěných konstrukcí krovů provést zateplení půdních prostor způsobem, kdy dřevěné prvky krovů zůstanou viditelné. </w:t>
      </w:r>
      <w:r w:rsidR="00395989" w:rsidRPr="00F00B71">
        <w:rPr>
          <w:rFonts w:cstheme="minorHAnsi"/>
        </w:rPr>
        <w:br/>
      </w:r>
    </w:p>
    <w:p w:rsidR="001E17F2" w:rsidRPr="00F00B71" w:rsidRDefault="001E17F2" w:rsidP="009C7E26">
      <w:pPr>
        <w:jc w:val="both"/>
        <w:rPr>
          <w:rFonts w:cstheme="minorHAnsi"/>
        </w:rPr>
      </w:pPr>
      <w:r w:rsidRPr="00F00B71">
        <w:rPr>
          <w:rFonts w:cstheme="minorHAnsi"/>
          <w:b/>
          <w:bCs/>
          <w:u w:val="single"/>
        </w:rPr>
        <w:t>3.</w:t>
      </w:r>
      <w:r w:rsidR="00857661" w:rsidRPr="00F00B71">
        <w:rPr>
          <w:rFonts w:cstheme="minorHAnsi"/>
          <w:b/>
          <w:bCs/>
          <w:u w:val="single"/>
        </w:rPr>
        <w:t>2</w:t>
      </w:r>
      <w:r w:rsidRPr="00F00B71">
        <w:rPr>
          <w:rFonts w:cstheme="minorHAnsi"/>
          <w:b/>
          <w:bCs/>
          <w:u w:val="single"/>
        </w:rPr>
        <w:t>. Objekt MOBA - čp. 133</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Předpokládá se komplexní rekonstrukce celého objektu, včetně výměny výplní otvorů, nových podlahových konstrukcí, veškerých vnitřních rozvodů apod., dle současných stavebně technických standardů, tj.</w:t>
      </w:r>
      <w:r w:rsidR="003E3BE9" w:rsidRPr="00F00B71">
        <w:rPr>
          <w:rFonts w:asciiTheme="minorHAnsi" w:hAnsiTheme="minorHAnsi" w:cstheme="minorHAnsi"/>
          <w:color w:val="auto"/>
          <w:sz w:val="23"/>
          <w:szCs w:val="23"/>
        </w:rPr>
        <w:t xml:space="preserve"> aby</w:t>
      </w:r>
      <w:r w:rsidRPr="00F00B71">
        <w:rPr>
          <w:rFonts w:asciiTheme="minorHAnsi" w:hAnsiTheme="minorHAnsi" w:cstheme="minorHAnsi"/>
          <w:color w:val="auto"/>
          <w:sz w:val="23"/>
          <w:szCs w:val="23"/>
        </w:rPr>
        <w:t xml:space="preserve"> konstrukčně materiálová charakteristika objektu odpovídající požadavkům na udržitelnou výstavbu. </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Záměrem zadavatele je také minimalizovat energetické náklady na provoz budovy (vytápění, osvětlení). </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Zvolené řešení musí klást důraz </w:t>
      </w:r>
      <w:r w:rsidR="00E67AF4" w:rsidRPr="00F00B71">
        <w:rPr>
          <w:rFonts w:asciiTheme="minorHAnsi" w:hAnsiTheme="minorHAnsi" w:cstheme="minorHAnsi"/>
          <w:color w:val="auto"/>
          <w:sz w:val="23"/>
          <w:szCs w:val="23"/>
        </w:rPr>
        <w:t xml:space="preserve">na </w:t>
      </w:r>
      <w:r w:rsidRPr="00F00B71">
        <w:rPr>
          <w:rFonts w:asciiTheme="minorHAnsi" w:hAnsiTheme="minorHAnsi" w:cstheme="minorHAnsi"/>
          <w:color w:val="auto"/>
          <w:sz w:val="23"/>
          <w:szCs w:val="23"/>
        </w:rPr>
        <w:t xml:space="preserve">logické uspořádání všech prostor.  </w:t>
      </w:r>
    </w:p>
    <w:p w:rsidR="001E17F2" w:rsidRPr="00F00B71" w:rsidRDefault="001E17F2" w:rsidP="009C7E26">
      <w:pPr>
        <w:pStyle w:val="Default"/>
        <w:jc w:val="both"/>
        <w:rPr>
          <w:rFonts w:asciiTheme="minorHAnsi" w:hAnsiTheme="minorHAnsi" w:cstheme="minorHAnsi"/>
          <w:color w:val="auto"/>
          <w:sz w:val="23"/>
          <w:szCs w:val="23"/>
        </w:rPr>
      </w:pPr>
    </w:p>
    <w:p w:rsidR="00D6494E"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Půdorysy ve studii budou navrženy ve dvou variantách (varianta dle zadavatele</w:t>
      </w:r>
      <w:r w:rsidR="005F2515" w:rsidRPr="00F00B71">
        <w:rPr>
          <w:rFonts w:asciiTheme="minorHAnsi" w:hAnsiTheme="minorHAnsi" w:cstheme="minorHAnsi"/>
          <w:color w:val="auto"/>
          <w:sz w:val="23"/>
          <w:szCs w:val="23"/>
        </w:rPr>
        <w:t xml:space="preserve"> – viz „Návrh na využití prostor“</w:t>
      </w:r>
      <w:r w:rsidRPr="00F00B71">
        <w:rPr>
          <w:rFonts w:asciiTheme="minorHAnsi" w:hAnsiTheme="minorHAnsi" w:cstheme="minorHAnsi"/>
          <w:color w:val="auto"/>
          <w:sz w:val="23"/>
          <w:szCs w:val="23"/>
        </w:rPr>
        <w:t xml:space="preserve"> a vlastní návrh zpracovatele STUDIE) včetně</w:t>
      </w:r>
      <w:r w:rsidR="005F2515" w:rsidRPr="00F00B71">
        <w:rPr>
          <w:rFonts w:asciiTheme="minorHAnsi" w:hAnsiTheme="minorHAnsi" w:cstheme="minorHAnsi"/>
          <w:color w:val="auto"/>
          <w:sz w:val="23"/>
          <w:szCs w:val="23"/>
        </w:rPr>
        <w:t xml:space="preserve"> půdorysů přilehlých prostor ND a</w:t>
      </w:r>
      <w:r w:rsidRPr="00F00B71">
        <w:rPr>
          <w:rFonts w:asciiTheme="minorHAnsi" w:hAnsiTheme="minorHAnsi" w:cstheme="minorHAnsi"/>
          <w:color w:val="auto"/>
          <w:sz w:val="23"/>
          <w:szCs w:val="23"/>
        </w:rPr>
        <w:t xml:space="preserve"> včetně propojení obou objektů. </w:t>
      </w:r>
    </w:p>
    <w:p w:rsidR="001E17F2" w:rsidRPr="00F00B71" w:rsidRDefault="00D6494E" w:rsidP="009C7E26">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br/>
      </w:r>
      <w:r w:rsidR="001E17F2" w:rsidRPr="00F00B71">
        <w:rPr>
          <w:rFonts w:asciiTheme="minorHAnsi" w:hAnsiTheme="minorHAnsi" w:cstheme="minorHAnsi"/>
          <w:color w:val="auto"/>
          <w:sz w:val="23"/>
          <w:szCs w:val="23"/>
        </w:rPr>
        <w:t>Součástí návrhu bude i umístění výtahu pro imobilní s kapacitou min 8 osob (bez zajíždění do suterénu). Objekt bude navržen jako bezbariérový, s bezbariérový přístupem do jednotlivých podlaží ND. Výtah dle zadavatele bude na rozhraní obou objektů a může zasáhnout i do půdorysu ND. Variantně navrhne umístění výtahu i zpracovatel STUDIE.</w:t>
      </w:r>
    </w:p>
    <w:p w:rsidR="001E17F2" w:rsidRPr="00F00B71" w:rsidRDefault="001E17F2" w:rsidP="009C7E26">
      <w:pPr>
        <w:pStyle w:val="Default"/>
        <w:jc w:val="both"/>
        <w:rPr>
          <w:rFonts w:asciiTheme="minorHAnsi" w:hAnsiTheme="minorHAnsi" w:cstheme="minorHAnsi"/>
          <w:color w:val="auto"/>
          <w:sz w:val="23"/>
          <w:szCs w:val="23"/>
        </w:rPr>
      </w:pPr>
    </w:p>
    <w:p w:rsidR="00E7411C" w:rsidRPr="00F00B71" w:rsidRDefault="00E67AF4"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Objednatel požaduje, aby </w:t>
      </w:r>
      <w:r w:rsidR="001E17F2" w:rsidRPr="00F00B71">
        <w:rPr>
          <w:rFonts w:asciiTheme="minorHAnsi" w:hAnsiTheme="minorHAnsi" w:cstheme="minorHAnsi"/>
          <w:color w:val="auto"/>
          <w:sz w:val="23"/>
          <w:szCs w:val="23"/>
        </w:rPr>
        <w:t>násled</w:t>
      </w:r>
      <w:r w:rsidRPr="00F00B71">
        <w:rPr>
          <w:rFonts w:asciiTheme="minorHAnsi" w:hAnsiTheme="minorHAnsi" w:cstheme="minorHAnsi"/>
          <w:color w:val="auto"/>
          <w:sz w:val="23"/>
          <w:szCs w:val="23"/>
        </w:rPr>
        <w:t>ná rekonstrukce objektu odstranila</w:t>
      </w:r>
      <w:r w:rsidR="001E17F2" w:rsidRPr="00F00B71">
        <w:rPr>
          <w:rFonts w:asciiTheme="minorHAnsi" w:hAnsiTheme="minorHAnsi" w:cstheme="minorHAnsi"/>
          <w:color w:val="auto"/>
          <w:sz w:val="23"/>
          <w:szCs w:val="23"/>
        </w:rPr>
        <w:t xml:space="preserve"> zejména zavlhání </w:t>
      </w:r>
      <w:r w:rsidRPr="00F00B71">
        <w:rPr>
          <w:rFonts w:asciiTheme="minorHAnsi" w:hAnsiTheme="minorHAnsi" w:cstheme="minorHAnsi"/>
          <w:color w:val="auto"/>
          <w:sz w:val="23"/>
          <w:szCs w:val="23"/>
        </w:rPr>
        <w:t>spodní stavby objektu, stanovila</w:t>
      </w:r>
      <w:r w:rsidR="001E17F2" w:rsidRPr="00F00B71">
        <w:rPr>
          <w:rFonts w:asciiTheme="minorHAnsi" w:hAnsiTheme="minorHAnsi" w:cstheme="minorHAnsi"/>
          <w:color w:val="auto"/>
          <w:sz w:val="23"/>
          <w:szCs w:val="23"/>
        </w:rPr>
        <w:t xml:space="preserve"> únosnost vodorovných nosných stropních konstrukcí pro potřeby provo</w:t>
      </w:r>
      <w:r w:rsidRPr="00F00B71">
        <w:rPr>
          <w:rFonts w:asciiTheme="minorHAnsi" w:hAnsiTheme="minorHAnsi" w:cstheme="minorHAnsi"/>
          <w:color w:val="auto"/>
          <w:sz w:val="23"/>
          <w:szCs w:val="23"/>
        </w:rPr>
        <w:t>zu dle současných norem a posunula</w:t>
      </w:r>
      <w:r w:rsidR="001E17F2" w:rsidRPr="00F00B71">
        <w:rPr>
          <w:rFonts w:asciiTheme="minorHAnsi" w:hAnsiTheme="minorHAnsi" w:cstheme="minorHAnsi"/>
          <w:color w:val="auto"/>
          <w:sz w:val="23"/>
          <w:szCs w:val="23"/>
        </w:rPr>
        <w:t xml:space="preserve"> životnost střešní konstrukce řádově o desí</w:t>
      </w:r>
      <w:r w:rsidR="00E7411C" w:rsidRPr="00F00B71">
        <w:rPr>
          <w:rFonts w:asciiTheme="minorHAnsi" w:hAnsiTheme="minorHAnsi" w:cstheme="minorHAnsi"/>
          <w:color w:val="auto"/>
          <w:sz w:val="23"/>
          <w:szCs w:val="23"/>
        </w:rPr>
        <w:t xml:space="preserve">tky let. </w:t>
      </w:r>
    </w:p>
    <w:p w:rsidR="001E17F2" w:rsidRPr="00F00B71" w:rsidRDefault="00E7411C"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Umístění vnitřního schodiště bude ponecháno</w:t>
      </w:r>
      <w:r w:rsidR="001E17F2" w:rsidRPr="00F00B71">
        <w:rPr>
          <w:rFonts w:asciiTheme="minorHAnsi" w:hAnsiTheme="minorHAnsi" w:cstheme="minorHAnsi"/>
          <w:color w:val="auto"/>
          <w:sz w:val="23"/>
          <w:szCs w:val="23"/>
        </w:rPr>
        <w:t>, pouze dojde k propojení 1.NP s</w:t>
      </w:r>
      <w:r w:rsidRPr="00F00B71">
        <w:rPr>
          <w:rFonts w:asciiTheme="minorHAnsi" w:hAnsiTheme="minorHAnsi" w:cstheme="minorHAnsi"/>
          <w:color w:val="auto"/>
          <w:sz w:val="23"/>
          <w:szCs w:val="23"/>
        </w:rPr>
        <w:t xml:space="preserve"> tímto </w:t>
      </w:r>
      <w:r w:rsidR="001E17F2" w:rsidRPr="00F00B71">
        <w:rPr>
          <w:rFonts w:asciiTheme="minorHAnsi" w:hAnsiTheme="minorHAnsi" w:cstheme="minorHAnsi"/>
          <w:color w:val="auto"/>
          <w:sz w:val="23"/>
          <w:szCs w:val="23"/>
        </w:rPr>
        <w:t>hlavním schodištěm a to přímo v úrovni 1.NP. Vnitřní vitráž buď zůstane na stávajícím místě, nebo může být v rámci 1.NP přemístěna (v rámci návrhu variant).</w:t>
      </w: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Hlavní nosné svislé konstrukce budou zachovány, vnější vzhled objektu bude rovněž v co nejvyšší míře zachován, s venkovním zateplením objektu se neuvažuje. Dle současných tepelně-technických standardů bude navržena jen úprava střechy včetně nosných konstrukcí krovu tak, aby jeho životnost byla totožná s životností novostavby střechy. Zadavatel uvažuje o provedení nadkrokevní tepelné izolace, která umožní vyniknout replice původní dřevěné konstrukce střechy.</w:t>
      </w:r>
    </w:p>
    <w:p w:rsidR="001E17F2" w:rsidRPr="00F00B71" w:rsidRDefault="001E17F2" w:rsidP="009C7E26">
      <w:pPr>
        <w:pStyle w:val="Default"/>
        <w:jc w:val="both"/>
        <w:rPr>
          <w:rFonts w:asciiTheme="minorHAnsi" w:hAnsiTheme="minorHAnsi" w:cstheme="minorHAnsi"/>
          <w:color w:val="auto"/>
          <w:sz w:val="23"/>
          <w:szCs w:val="23"/>
        </w:rPr>
      </w:pPr>
    </w:p>
    <w:p w:rsidR="001E17F2" w:rsidRPr="00F00B71" w:rsidRDefault="001E17F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Z provozního hlediska a z hlediska využitelnosti celkové plochy původní bankovní haly se uvažuje o zrušení „novodobého“ vstupu ze strany ulice hlavní (variantně posoudit). </w:t>
      </w:r>
    </w:p>
    <w:p w:rsidR="001E17F2" w:rsidRPr="00F00B71" w:rsidRDefault="000D30C2" w:rsidP="009C7E26">
      <w:pPr>
        <w:pStyle w:val="Default"/>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D</w:t>
      </w:r>
      <w:r w:rsidR="001E17F2" w:rsidRPr="00F00B71">
        <w:rPr>
          <w:rFonts w:asciiTheme="minorHAnsi" w:hAnsiTheme="minorHAnsi" w:cstheme="minorHAnsi"/>
          <w:color w:val="auto"/>
          <w:sz w:val="23"/>
          <w:szCs w:val="23"/>
        </w:rPr>
        <w:t>o objektu zůstanou zachovány</w:t>
      </w:r>
      <w:r w:rsidRPr="00F00B71">
        <w:rPr>
          <w:rFonts w:asciiTheme="minorHAnsi" w:hAnsiTheme="minorHAnsi" w:cstheme="minorHAnsi"/>
          <w:color w:val="auto"/>
          <w:sz w:val="23"/>
          <w:szCs w:val="23"/>
        </w:rPr>
        <w:t xml:space="preserve"> </w:t>
      </w:r>
      <w:r w:rsidR="00E7411C" w:rsidRPr="00F00B71">
        <w:rPr>
          <w:rFonts w:asciiTheme="minorHAnsi" w:hAnsiTheme="minorHAnsi" w:cstheme="minorHAnsi"/>
          <w:color w:val="auto"/>
          <w:sz w:val="23"/>
          <w:szCs w:val="23"/>
        </w:rPr>
        <w:t xml:space="preserve">dva </w:t>
      </w:r>
      <w:r w:rsidR="00A81FCB" w:rsidRPr="00F00B71">
        <w:rPr>
          <w:rFonts w:asciiTheme="minorHAnsi" w:hAnsiTheme="minorHAnsi" w:cstheme="minorHAnsi"/>
          <w:color w:val="auto"/>
          <w:sz w:val="23"/>
          <w:szCs w:val="23"/>
        </w:rPr>
        <w:t xml:space="preserve">zbývající </w:t>
      </w:r>
      <w:r w:rsidRPr="00F00B71">
        <w:rPr>
          <w:rFonts w:asciiTheme="minorHAnsi" w:hAnsiTheme="minorHAnsi" w:cstheme="minorHAnsi"/>
          <w:color w:val="auto"/>
          <w:sz w:val="23"/>
          <w:szCs w:val="23"/>
        </w:rPr>
        <w:t>vstupy</w:t>
      </w:r>
      <w:r w:rsidR="001E17F2" w:rsidRPr="00F00B71">
        <w:rPr>
          <w:rFonts w:asciiTheme="minorHAnsi" w:hAnsiTheme="minorHAnsi" w:cstheme="minorHAnsi"/>
          <w:color w:val="auto"/>
          <w:sz w:val="23"/>
          <w:szCs w:val="23"/>
        </w:rPr>
        <w:t xml:space="preserve">. Hlavním vstupem do objektu zůstane vstup z ulice Palackého, </w:t>
      </w:r>
      <w:r w:rsidRPr="00F00B71">
        <w:rPr>
          <w:rFonts w:asciiTheme="minorHAnsi" w:hAnsiTheme="minorHAnsi" w:cstheme="minorHAnsi"/>
          <w:color w:val="auto"/>
          <w:sz w:val="23"/>
          <w:szCs w:val="23"/>
        </w:rPr>
        <w:t>druhým vstupem bude současný</w:t>
      </w:r>
      <w:r w:rsidR="00E7411C" w:rsidRPr="00F00B71">
        <w:rPr>
          <w:rFonts w:asciiTheme="minorHAnsi" w:hAnsiTheme="minorHAnsi" w:cstheme="minorHAnsi"/>
          <w:color w:val="auto"/>
          <w:sz w:val="23"/>
          <w:szCs w:val="23"/>
        </w:rPr>
        <w:t xml:space="preserve"> </w:t>
      </w:r>
      <w:r w:rsidR="001E17F2" w:rsidRPr="00F00B71">
        <w:rPr>
          <w:rFonts w:asciiTheme="minorHAnsi" w:hAnsiTheme="minorHAnsi" w:cstheme="minorHAnsi"/>
          <w:color w:val="auto"/>
          <w:sz w:val="23"/>
          <w:szCs w:val="23"/>
        </w:rPr>
        <w:t xml:space="preserve">boční vstup od bývalého autobusového </w:t>
      </w:r>
      <w:r w:rsidR="00E7411C" w:rsidRPr="00F00B71">
        <w:rPr>
          <w:rFonts w:asciiTheme="minorHAnsi" w:hAnsiTheme="minorHAnsi" w:cstheme="minorHAnsi"/>
          <w:color w:val="auto"/>
          <w:sz w:val="23"/>
          <w:szCs w:val="23"/>
        </w:rPr>
        <w:t>stanoviště.</w:t>
      </w:r>
      <w:r w:rsidR="006B3D64" w:rsidRPr="00F00B71">
        <w:rPr>
          <w:rFonts w:asciiTheme="minorHAnsi" w:hAnsiTheme="minorHAnsi" w:cstheme="minorHAnsi"/>
          <w:color w:val="auto"/>
          <w:sz w:val="23"/>
          <w:szCs w:val="23"/>
        </w:rPr>
        <w:t xml:space="preserve"> Dalším</w:t>
      </w:r>
      <w:r w:rsidR="00A81FCB" w:rsidRPr="00F00B71">
        <w:rPr>
          <w:rFonts w:asciiTheme="minorHAnsi" w:hAnsiTheme="minorHAnsi" w:cstheme="minorHAnsi"/>
          <w:color w:val="auto"/>
          <w:sz w:val="23"/>
          <w:szCs w:val="23"/>
        </w:rPr>
        <w:t xml:space="preserve"> vstupem</w:t>
      </w:r>
      <w:r w:rsidR="006B3D64" w:rsidRPr="00F00B71">
        <w:rPr>
          <w:rFonts w:asciiTheme="minorHAnsi" w:hAnsiTheme="minorHAnsi" w:cstheme="minorHAnsi"/>
          <w:color w:val="auto"/>
          <w:sz w:val="23"/>
          <w:szCs w:val="23"/>
        </w:rPr>
        <w:t xml:space="preserve"> do objektu</w:t>
      </w:r>
      <w:r w:rsidR="00A81FCB" w:rsidRPr="00F00B71">
        <w:rPr>
          <w:rFonts w:asciiTheme="minorHAnsi" w:hAnsiTheme="minorHAnsi" w:cstheme="minorHAnsi"/>
          <w:color w:val="auto"/>
          <w:sz w:val="23"/>
          <w:szCs w:val="23"/>
        </w:rPr>
        <w:t xml:space="preserve"> může být</w:t>
      </w:r>
      <w:r w:rsidR="006B3D64" w:rsidRPr="00F00B71">
        <w:rPr>
          <w:rFonts w:asciiTheme="minorHAnsi" w:hAnsiTheme="minorHAnsi" w:cstheme="minorHAnsi"/>
          <w:color w:val="auto"/>
          <w:sz w:val="23"/>
          <w:szCs w:val="23"/>
        </w:rPr>
        <w:t xml:space="preserve"> vstup k výtahu, který bude umístěn na rozhraní obou objektů. </w:t>
      </w:r>
      <w:r w:rsidR="001E17F2" w:rsidRPr="00F00B71">
        <w:rPr>
          <w:rFonts w:asciiTheme="minorHAnsi" w:hAnsiTheme="minorHAnsi" w:cstheme="minorHAnsi"/>
          <w:color w:val="auto"/>
          <w:sz w:val="23"/>
          <w:szCs w:val="23"/>
        </w:rPr>
        <w:t>Nynější propojení bankovní haly s nadzemními podlažími skrze suterén pak může být zrušeno.</w:t>
      </w:r>
    </w:p>
    <w:p w:rsidR="001E17F2" w:rsidRPr="00F00B71" w:rsidRDefault="00EE71D6" w:rsidP="009C7E26">
      <w:pPr>
        <w:jc w:val="both"/>
        <w:rPr>
          <w:rFonts w:cstheme="minorHAnsi"/>
          <w:b/>
          <w:sz w:val="24"/>
          <w:szCs w:val="24"/>
        </w:rPr>
      </w:pPr>
      <w:r w:rsidRPr="00F00B71">
        <w:rPr>
          <w:rFonts w:cstheme="minorHAnsi"/>
          <w:b/>
          <w:sz w:val="24"/>
          <w:szCs w:val="24"/>
        </w:rPr>
        <w:br/>
      </w:r>
      <w:r w:rsidR="001E17F2" w:rsidRPr="00F00B71">
        <w:rPr>
          <w:rFonts w:cstheme="minorHAnsi"/>
          <w:b/>
          <w:sz w:val="24"/>
          <w:szCs w:val="24"/>
        </w:rPr>
        <w:t>Návrh na využití prostor (vi</w:t>
      </w:r>
      <w:r w:rsidR="00395989" w:rsidRPr="00F00B71">
        <w:rPr>
          <w:rFonts w:cstheme="minorHAnsi"/>
          <w:b/>
          <w:sz w:val="24"/>
          <w:szCs w:val="24"/>
        </w:rPr>
        <w:t>z příloha č. 5</w:t>
      </w:r>
      <w:r w:rsidR="001E17F2" w:rsidRPr="00F00B71">
        <w:rPr>
          <w:rFonts w:cstheme="minorHAnsi"/>
          <w:b/>
          <w:sz w:val="24"/>
          <w:szCs w:val="24"/>
        </w:rPr>
        <w:t>):</w:t>
      </w:r>
    </w:p>
    <w:p w:rsidR="001E17F2" w:rsidRPr="00F00B71" w:rsidRDefault="001E17F2" w:rsidP="009C7E26">
      <w:pPr>
        <w:pStyle w:val="Default"/>
        <w:numPr>
          <w:ilvl w:val="0"/>
          <w:numId w:val="28"/>
        </w:numPr>
        <w:jc w:val="both"/>
        <w:rPr>
          <w:rFonts w:asciiTheme="minorHAnsi" w:hAnsiTheme="minorHAnsi" w:cstheme="minorHAnsi"/>
          <w:color w:val="auto"/>
          <w:sz w:val="23"/>
          <w:szCs w:val="23"/>
        </w:rPr>
      </w:pPr>
      <w:r w:rsidRPr="00F00B71">
        <w:rPr>
          <w:rFonts w:asciiTheme="minorHAnsi" w:hAnsiTheme="minorHAnsi" w:cstheme="minorHAnsi"/>
          <w:b/>
          <w:bCs/>
          <w:color w:val="auto"/>
          <w:sz w:val="23"/>
          <w:szCs w:val="23"/>
        </w:rPr>
        <w:t xml:space="preserve">PP - </w:t>
      </w:r>
      <w:r w:rsidRPr="00F00B71">
        <w:rPr>
          <w:rFonts w:asciiTheme="minorHAnsi" w:hAnsiTheme="minorHAnsi" w:cstheme="minorHAnsi"/>
          <w:color w:val="auto"/>
          <w:sz w:val="23"/>
          <w:szCs w:val="23"/>
        </w:rPr>
        <w:t>Malé hlediště s podiem, hudební zkušebny, klubovny a skladové prostory.</w:t>
      </w:r>
    </w:p>
    <w:p w:rsidR="001E17F2" w:rsidRPr="00F00B71" w:rsidRDefault="001E17F2" w:rsidP="009C7E26">
      <w:pPr>
        <w:pStyle w:val="Default"/>
        <w:jc w:val="both"/>
        <w:rPr>
          <w:rFonts w:asciiTheme="minorHAnsi" w:hAnsiTheme="minorHAnsi" w:cstheme="minorHAnsi"/>
          <w:b/>
          <w:bCs/>
          <w:color w:val="auto"/>
          <w:sz w:val="10"/>
          <w:szCs w:val="10"/>
        </w:rPr>
      </w:pPr>
    </w:p>
    <w:p w:rsidR="001E17F2" w:rsidRPr="00F00B71" w:rsidRDefault="001E17F2" w:rsidP="009C7E26">
      <w:pPr>
        <w:pStyle w:val="Default"/>
        <w:numPr>
          <w:ilvl w:val="0"/>
          <w:numId w:val="29"/>
        </w:numPr>
        <w:jc w:val="both"/>
        <w:rPr>
          <w:rFonts w:asciiTheme="minorHAnsi" w:hAnsiTheme="minorHAnsi" w:cstheme="minorHAnsi"/>
          <w:bCs/>
          <w:color w:val="auto"/>
          <w:sz w:val="23"/>
          <w:szCs w:val="23"/>
        </w:rPr>
      </w:pPr>
      <w:r w:rsidRPr="00F00B71">
        <w:rPr>
          <w:rFonts w:asciiTheme="minorHAnsi" w:hAnsiTheme="minorHAnsi" w:cstheme="minorHAnsi"/>
          <w:b/>
          <w:bCs/>
          <w:color w:val="auto"/>
          <w:sz w:val="23"/>
          <w:szCs w:val="23"/>
        </w:rPr>
        <w:t xml:space="preserve">NP - </w:t>
      </w:r>
      <w:r w:rsidRPr="00F00B71">
        <w:rPr>
          <w:rFonts w:asciiTheme="minorHAnsi" w:hAnsiTheme="minorHAnsi" w:cstheme="minorHAnsi"/>
          <w:bCs/>
          <w:color w:val="auto"/>
          <w:sz w:val="23"/>
          <w:szCs w:val="23"/>
        </w:rPr>
        <w:t>Galérie s kavárnou a zázemím, galerie, skladové prostory, propojení se sousedním objektem Národního domu.</w:t>
      </w:r>
    </w:p>
    <w:p w:rsidR="001E17F2" w:rsidRPr="00F00B71" w:rsidRDefault="001E17F2" w:rsidP="009C7E26">
      <w:pPr>
        <w:pStyle w:val="Default"/>
        <w:jc w:val="both"/>
        <w:rPr>
          <w:rFonts w:asciiTheme="minorHAnsi" w:hAnsiTheme="minorHAnsi" w:cstheme="minorHAnsi"/>
          <w:color w:val="auto"/>
          <w:sz w:val="10"/>
          <w:szCs w:val="10"/>
        </w:rPr>
      </w:pPr>
    </w:p>
    <w:p w:rsidR="001E17F2" w:rsidRPr="00F00B71" w:rsidRDefault="001E17F2" w:rsidP="009C7E26">
      <w:pPr>
        <w:pStyle w:val="Default"/>
        <w:numPr>
          <w:ilvl w:val="0"/>
          <w:numId w:val="29"/>
        </w:numPr>
        <w:jc w:val="both"/>
        <w:rPr>
          <w:rFonts w:asciiTheme="minorHAnsi" w:hAnsiTheme="minorHAnsi" w:cstheme="minorHAnsi"/>
          <w:color w:val="auto"/>
          <w:sz w:val="23"/>
          <w:szCs w:val="23"/>
        </w:rPr>
      </w:pPr>
      <w:r w:rsidRPr="00F00B71">
        <w:rPr>
          <w:rFonts w:asciiTheme="minorHAnsi" w:hAnsiTheme="minorHAnsi" w:cstheme="minorHAnsi"/>
          <w:b/>
          <w:bCs/>
          <w:color w:val="auto"/>
          <w:sz w:val="23"/>
          <w:szCs w:val="23"/>
        </w:rPr>
        <w:t xml:space="preserve">NP - </w:t>
      </w:r>
      <w:r w:rsidRPr="00F00B71">
        <w:rPr>
          <w:rFonts w:asciiTheme="minorHAnsi" w:hAnsiTheme="minorHAnsi" w:cstheme="minorHAnsi"/>
          <w:color w:val="auto"/>
          <w:sz w:val="23"/>
          <w:szCs w:val="23"/>
        </w:rPr>
        <w:t>Zázemí pro pohybové kurzy (možnosti pronájmů), multifunkční prostory (besedy, promítání), taneční studio.</w:t>
      </w:r>
    </w:p>
    <w:p w:rsidR="001E17F2" w:rsidRPr="00F00B71" w:rsidRDefault="001E17F2" w:rsidP="009C7E26">
      <w:pPr>
        <w:pStyle w:val="Default"/>
        <w:jc w:val="both"/>
        <w:rPr>
          <w:rFonts w:asciiTheme="minorHAnsi" w:hAnsiTheme="minorHAnsi" w:cstheme="minorHAnsi"/>
          <w:color w:val="auto"/>
          <w:sz w:val="10"/>
          <w:szCs w:val="10"/>
        </w:rPr>
      </w:pPr>
    </w:p>
    <w:p w:rsidR="00AE0DF1" w:rsidRDefault="001E17F2" w:rsidP="009C7E26">
      <w:pPr>
        <w:pStyle w:val="Default"/>
        <w:numPr>
          <w:ilvl w:val="0"/>
          <w:numId w:val="29"/>
        </w:numPr>
        <w:spacing w:after="120"/>
        <w:ind w:left="714" w:hanging="357"/>
        <w:jc w:val="both"/>
        <w:rPr>
          <w:rFonts w:asciiTheme="minorHAnsi" w:hAnsiTheme="minorHAnsi" w:cstheme="minorHAnsi"/>
          <w:b/>
          <w:bCs/>
          <w:color w:val="auto"/>
          <w:sz w:val="23"/>
          <w:szCs w:val="23"/>
        </w:rPr>
      </w:pPr>
      <w:r w:rsidRPr="00F00B71">
        <w:rPr>
          <w:rFonts w:asciiTheme="minorHAnsi" w:hAnsiTheme="minorHAnsi" w:cstheme="minorHAnsi"/>
          <w:b/>
          <w:bCs/>
          <w:color w:val="auto"/>
          <w:sz w:val="23"/>
          <w:szCs w:val="23"/>
        </w:rPr>
        <w:t xml:space="preserve">NP - </w:t>
      </w:r>
      <w:r w:rsidRPr="00F00B71">
        <w:rPr>
          <w:rFonts w:asciiTheme="minorHAnsi" w:eastAsia="Times New Roman" w:hAnsiTheme="minorHAnsi" w:cstheme="minorHAnsi"/>
          <w:color w:val="auto"/>
          <w:sz w:val="23"/>
          <w:szCs w:val="23"/>
        </w:rPr>
        <w:t>Prostory pro vzdělávací činnost, zázemí pro pracovníky ND.</w:t>
      </w:r>
    </w:p>
    <w:p w:rsidR="001E17F2" w:rsidRPr="00F00B71" w:rsidRDefault="001E17F2" w:rsidP="009C7E26">
      <w:pPr>
        <w:pStyle w:val="Default"/>
        <w:numPr>
          <w:ilvl w:val="0"/>
          <w:numId w:val="29"/>
        </w:numPr>
        <w:jc w:val="both"/>
        <w:rPr>
          <w:rFonts w:asciiTheme="minorHAnsi" w:hAnsiTheme="minorHAnsi" w:cstheme="minorHAnsi"/>
          <w:b/>
          <w:bCs/>
          <w:color w:val="auto"/>
          <w:sz w:val="23"/>
          <w:szCs w:val="23"/>
        </w:rPr>
      </w:pPr>
      <w:r w:rsidRPr="00F00B71">
        <w:rPr>
          <w:rFonts w:asciiTheme="minorHAnsi" w:hAnsiTheme="minorHAnsi" w:cstheme="minorHAnsi"/>
          <w:b/>
          <w:bCs/>
          <w:color w:val="auto"/>
          <w:sz w:val="23"/>
          <w:szCs w:val="23"/>
        </w:rPr>
        <w:t xml:space="preserve">NP - </w:t>
      </w:r>
      <w:r w:rsidRPr="00F00B71">
        <w:rPr>
          <w:rFonts w:asciiTheme="minorHAnsi" w:hAnsiTheme="minorHAnsi" w:cstheme="minorHAnsi"/>
          <w:bCs/>
          <w:color w:val="auto"/>
          <w:sz w:val="23"/>
          <w:szCs w:val="23"/>
        </w:rPr>
        <w:t>Penzion pro umělce včetně zázemí.</w:t>
      </w:r>
    </w:p>
    <w:p w:rsidR="001E17F2" w:rsidRPr="00F00B71" w:rsidRDefault="001E17F2" w:rsidP="009C7E26">
      <w:pPr>
        <w:pStyle w:val="Default"/>
        <w:jc w:val="both"/>
        <w:rPr>
          <w:rFonts w:asciiTheme="minorHAnsi" w:hAnsiTheme="minorHAnsi" w:cstheme="minorHAnsi"/>
          <w:b/>
          <w:bCs/>
          <w:color w:val="auto"/>
          <w:sz w:val="10"/>
          <w:szCs w:val="10"/>
        </w:rPr>
      </w:pPr>
    </w:p>
    <w:p w:rsidR="001E17F2" w:rsidRDefault="001E17F2" w:rsidP="009C7E26">
      <w:pPr>
        <w:pStyle w:val="Default"/>
        <w:numPr>
          <w:ilvl w:val="0"/>
          <w:numId w:val="29"/>
        </w:numPr>
        <w:jc w:val="both"/>
        <w:rPr>
          <w:rFonts w:asciiTheme="minorHAnsi" w:hAnsiTheme="minorHAnsi" w:cstheme="minorHAnsi"/>
          <w:bCs/>
          <w:color w:val="auto"/>
          <w:sz w:val="23"/>
          <w:szCs w:val="23"/>
        </w:rPr>
      </w:pPr>
      <w:r w:rsidRPr="00F00B71">
        <w:rPr>
          <w:rFonts w:asciiTheme="minorHAnsi" w:hAnsiTheme="minorHAnsi" w:cstheme="minorHAnsi"/>
          <w:b/>
          <w:bCs/>
          <w:color w:val="auto"/>
          <w:sz w:val="23"/>
          <w:szCs w:val="23"/>
        </w:rPr>
        <w:t xml:space="preserve">NP - </w:t>
      </w:r>
      <w:r w:rsidRPr="00F00B71">
        <w:rPr>
          <w:rFonts w:asciiTheme="minorHAnsi" w:hAnsiTheme="minorHAnsi" w:cstheme="minorHAnsi"/>
          <w:bCs/>
          <w:color w:val="auto"/>
          <w:sz w:val="23"/>
          <w:szCs w:val="23"/>
        </w:rPr>
        <w:t>Ateliér, multifunkční místnost.</w:t>
      </w:r>
    </w:p>
    <w:p w:rsidR="00AE0DF1" w:rsidRPr="00F00B71" w:rsidRDefault="00AE0DF1" w:rsidP="009C7E26">
      <w:pPr>
        <w:pStyle w:val="Default"/>
        <w:ind w:left="720"/>
        <w:jc w:val="both"/>
        <w:rPr>
          <w:rFonts w:asciiTheme="minorHAnsi" w:hAnsiTheme="minorHAnsi" w:cstheme="minorHAnsi"/>
          <w:bCs/>
          <w:color w:val="auto"/>
          <w:sz w:val="23"/>
          <w:szCs w:val="23"/>
        </w:rPr>
      </w:pPr>
    </w:p>
    <w:p w:rsidR="001E17F2" w:rsidRPr="00F00B71" w:rsidRDefault="001E17F2" w:rsidP="009C7E26">
      <w:pPr>
        <w:pStyle w:val="Default"/>
        <w:spacing w:after="22"/>
        <w:jc w:val="both"/>
        <w:rPr>
          <w:rFonts w:asciiTheme="minorHAnsi" w:hAnsiTheme="minorHAnsi" w:cstheme="minorHAnsi"/>
          <w:color w:val="auto"/>
          <w:u w:val="single"/>
        </w:rPr>
      </w:pPr>
      <w:r w:rsidRPr="00F00B71">
        <w:rPr>
          <w:rFonts w:asciiTheme="minorHAnsi" w:hAnsiTheme="minorHAnsi" w:cstheme="minorHAnsi"/>
          <w:b/>
          <w:color w:val="auto"/>
          <w:u w:val="single"/>
        </w:rPr>
        <w:t>3.</w:t>
      </w:r>
      <w:r w:rsidR="00323382" w:rsidRPr="00F00B71">
        <w:rPr>
          <w:rFonts w:asciiTheme="minorHAnsi" w:hAnsiTheme="minorHAnsi" w:cstheme="minorHAnsi"/>
          <w:b/>
          <w:color w:val="auto"/>
          <w:u w:val="single"/>
        </w:rPr>
        <w:t>3</w:t>
      </w:r>
      <w:r w:rsidRPr="00F00B71">
        <w:rPr>
          <w:rFonts w:asciiTheme="minorHAnsi" w:hAnsiTheme="minorHAnsi" w:cstheme="minorHAnsi"/>
          <w:b/>
          <w:color w:val="auto"/>
          <w:u w:val="single"/>
        </w:rPr>
        <w:t>. Venkovní zpevněné a parkovací plochy</w:t>
      </w:r>
      <w:r w:rsidR="000A0BD4" w:rsidRPr="00F00B71">
        <w:rPr>
          <w:rFonts w:asciiTheme="minorHAnsi" w:hAnsiTheme="minorHAnsi" w:cstheme="minorHAnsi"/>
          <w:b/>
          <w:color w:val="auto"/>
          <w:u w:val="single"/>
        </w:rPr>
        <w:t>, komunikace</w:t>
      </w:r>
    </w:p>
    <w:p w:rsidR="00EF47E5" w:rsidRPr="00F00B71" w:rsidRDefault="001E17F2"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V rámci studie navrhnout </w:t>
      </w:r>
      <w:r w:rsidR="00EF47E5" w:rsidRPr="00F00B71">
        <w:rPr>
          <w:rFonts w:cstheme="minorHAnsi"/>
          <w:color w:val="auto"/>
        </w:rPr>
        <w:t xml:space="preserve">varianty zásobování kuchyně a restaurace ze strany bývalého autobusového stanoviště nebo odbočením z Hlavní třídy (v horizontu po zbudování obchvatu města) a </w:t>
      </w:r>
      <w:r w:rsidRPr="00F00B71">
        <w:rPr>
          <w:rFonts w:asciiTheme="minorHAnsi" w:hAnsiTheme="minorHAnsi" w:cstheme="minorHAnsi"/>
          <w:color w:val="auto"/>
          <w:sz w:val="23"/>
          <w:szCs w:val="23"/>
        </w:rPr>
        <w:t>optimální umístění parkovacích stání pro osobní automobily pro ubytované hosty v</w:t>
      </w:r>
      <w:r w:rsidR="00F47F7D" w:rsidRPr="00F00B71">
        <w:rPr>
          <w:rFonts w:asciiTheme="minorHAnsi" w:hAnsiTheme="minorHAnsi" w:cstheme="minorHAnsi"/>
          <w:color w:val="auto"/>
          <w:sz w:val="23"/>
          <w:szCs w:val="23"/>
        </w:rPr>
        <w:t> </w:t>
      </w:r>
      <w:r w:rsidRPr="00F00B71">
        <w:rPr>
          <w:rFonts w:asciiTheme="minorHAnsi" w:hAnsiTheme="minorHAnsi" w:cstheme="minorHAnsi"/>
          <w:color w:val="auto"/>
          <w:sz w:val="23"/>
          <w:szCs w:val="23"/>
        </w:rPr>
        <w:t>objektu</w:t>
      </w:r>
      <w:r w:rsidR="00F47F7D" w:rsidRPr="00F00B71">
        <w:rPr>
          <w:rFonts w:asciiTheme="minorHAnsi" w:hAnsiTheme="minorHAnsi" w:cstheme="minorHAnsi"/>
          <w:color w:val="auto"/>
          <w:sz w:val="23"/>
          <w:szCs w:val="23"/>
        </w:rPr>
        <w:t xml:space="preserve"> MOBA, pro zaměstnance ND a MOBA </w:t>
      </w:r>
      <w:r w:rsidRPr="00F00B71">
        <w:rPr>
          <w:rFonts w:asciiTheme="minorHAnsi" w:hAnsiTheme="minorHAnsi" w:cstheme="minorHAnsi"/>
          <w:color w:val="auto"/>
          <w:sz w:val="23"/>
          <w:szCs w:val="23"/>
        </w:rPr>
        <w:t xml:space="preserve">a </w:t>
      </w:r>
      <w:r w:rsidR="00D67BE9" w:rsidRPr="00F00B71">
        <w:rPr>
          <w:rFonts w:asciiTheme="minorHAnsi" w:hAnsiTheme="minorHAnsi" w:cstheme="minorHAnsi"/>
          <w:color w:val="auto"/>
          <w:sz w:val="23"/>
          <w:szCs w:val="23"/>
        </w:rPr>
        <w:t xml:space="preserve">případný </w:t>
      </w:r>
      <w:r w:rsidRPr="00F00B71">
        <w:rPr>
          <w:rFonts w:asciiTheme="minorHAnsi" w:hAnsiTheme="minorHAnsi" w:cstheme="minorHAnsi"/>
          <w:color w:val="auto"/>
          <w:sz w:val="23"/>
          <w:szCs w:val="23"/>
        </w:rPr>
        <w:t>příjezd k výtahu (hlavnímu schodišti</w:t>
      </w:r>
      <w:r w:rsidR="00D67BE9" w:rsidRPr="00F00B71">
        <w:rPr>
          <w:rFonts w:asciiTheme="minorHAnsi" w:hAnsiTheme="minorHAnsi" w:cstheme="minorHAnsi"/>
          <w:color w:val="auto"/>
          <w:sz w:val="23"/>
          <w:szCs w:val="23"/>
        </w:rPr>
        <w:t xml:space="preserve"> MOBA</w:t>
      </w:r>
      <w:r w:rsidRPr="00F00B71">
        <w:rPr>
          <w:rFonts w:asciiTheme="minorHAnsi" w:hAnsiTheme="minorHAnsi" w:cstheme="minorHAnsi"/>
          <w:color w:val="auto"/>
          <w:sz w:val="23"/>
          <w:szCs w:val="23"/>
        </w:rPr>
        <w:t xml:space="preserve">) vozidel s expozicemi pro výstavy apod. </w:t>
      </w:r>
    </w:p>
    <w:p w:rsidR="004940D1" w:rsidRPr="00F00B71" w:rsidRDefault="001E17F2" w:rsidP="009C7E26">
      <w:pPr>
        <w:jc w:val="both"/>
        <w:rPr>
          <w:rFonts w:cstheme="minorHAnsi"/>
          <w:sz w:val="24"/>
          <w:szCs w:val="24"/>
        </w:rPr>
      </w:pPr>
      <w:r w:rsidRPr="00F00B71">
        <w:rPr>
          <w:rFonts w:cstheme="minorHAnsi"/>
        </w:rPr>
        <w:t xml:space="preserve">V rámci návrhu venkovních ploch navrhnout i umístění nádob na komunální odpad v návaznosti na jejich svoz. </w:t>
      </w:r>
      <w:r w:rsidR="00DA27FE" w:rsidRPr="00F00B71">
        <w:rPr>
          <w:rFonts w:cstheme="minorHAnsi"/>
        </w:rPr>
        <w:t>Variantně samostatně pro objekt čp. 134</w:t>
      </w:r>
      <w:r w:rsidRPr="00F00B71">
        <w:rPr>
          <w:rFonts w:cstheme="minorHAnsi"/>
        </w:rPr>
        <w:t xml:space="preserve"> (</w:t>
      </w:r>
      <w:r w:rsidR="00DA27FE" w:rsidRPr="00F00B71">
        <w:rPr>
          <w:rFonts w:cstheme="minorHAnsi"/>
        </w:rPr>
        <w:t>ND) a variantně pro objekt čp. 133 (MOBA</w:t>
      </w:r>
      <w:r w:rsidRPr="00F00B71">
        <w:rPr>
          <w:rFonts w:cstheme="minorHAnsi"/>
        </w:rPr>
        <w:t>)</w:t>
      </w:r>
      <w:r w:rsidR="00DA27FE" w:rsidRPr="00F00B71">
        <w:rPr>
          <w:rFonts w:cstheme="minorHAnsi"/>
        </w:rPr>
        <w:t xml:space="preserve"> a variantně pro oba objekty společně</w:t>
      </w:r>
      <w:r w:rsidRPr="00F00B71">
        <w:rPr>
          <w:rFonts w:cstheme="minorHAnsi"/>
        </w:rPr>
        <w:t>.</w:t>
      </w:r>
      <w:r w:rsidR="004940D1" w:rsidRPr="00F00B71">
        <w:rPr>
          <w:rFonts w:cstheme="minorHAnsi"/>
          <w:sz w:val="24"/>
          <w:szCs w:val="24"/>
        </w:rPr>
        <w:t xml:space="preserve"> </w:t>
      </w:r>
    </w:p>
    <w:p w:rsidR="001E17F2" w:rsidRPr="00F00B71" w:rsidRDefault="001E17F2" w:rsidP="009C7E26">
      <w:pPr>
        <w:pStyle w:val="Default"/>
        <w:jc w:val="both"/>
        <w:rPr>
          <w:rFonts w:asciiTheme="minorHAnsi" w:hAnsiTheme="minorHAnsi" w:cstheme="minorHAnsi"/>
          <w:b/>
          <w:bCs/>
          <w:color w:val="auto"/>
          <w:sz w:val="26"/>
          <w:szCs w:val="26"/>
        </w:rPr>
      </w:pPr>
      <w:r w:rsidRPr="00F00B71">
        <w:rPr>
          <w:rFonts w:asciiTheme="minorHAnsi" w:hAnsiTheme="minorHAnsi" w:cstheme="minorHAnsi"/>
          <w:b/>
          <w:bCs/>
          <w:color w:val="auto"/>
          <w:sz w:val="26"/>
          <w:szCs w:val="26"/>
        </w:rPr>
        <w:t xml:space="preserve">4. ROZSAH POŽADOVANÉ DOKUMENTACE </w:t>
      </w:r>
    </w:p>
    <w:p w:rsidR="001E17F2" w:rsidRPr="00F00B71" w:rsidRDefault="001E17F2" w:rsidP="009C7E26">
      <w:pPr>
        <w:pStyle w:val="Default"/>
        <w:spacing w:after="22"/>
        <w:jc w:val="both"/>
        <w:rPr>
          <w:rFonts w:asciiTheme="minorHAnsi" w:hAnsiTheme="minorHAnsi" w:cstheme="minorHAnsi"/>
          <w:color w:val="auto"/>
          <w:sz w:val="23"/>
          <w:szCs w:val="23"/>
        </w:rPr>
      </w:pPr>
    </w:p>
    <w:p w:rsidR="001E17F2" w:rsidRPr="00F00B71" w:rsidRDefault="00BC57C7" w:rsidP="009C7E26">
      <w:pPr>
        <w:pStyle w:val="Default"/>
        <w:spacing w:after="22"/>
        <w:jc w:val="both"/>
        <w:rPr>
          <w:rFonts w:asciiTheme="minorHAnsi" w:hAnsiTheme="minorHAnsi" w:cstheme="minorHAnsi"/>
          <w:b/>
          <w:color w:val="auto"/>
          <w:sz w:val="23"/>
          <w:szCs w:val="23"/>
        </w:rPr>
      </w:pPr>
      <w:r w:rsidRPr="00F00B71">
        <w:rPr>
          <w:rFonts w:asciiTheme="minorHAnsi" w:hAnsiTheme="minorHAnsi" w:cstheme="minorHAnsi"/>
          <w:b/>
          <w:color w:val="auto"/>
          <w:sz w:val="23"/>
          <w:szCs w:val="23"/>
        </w:rPr>
        <w:t xml:space="preserve">4.1. </w:t>
      </w:r>
      <w:r w:rsidR="001E17F2" w:rsidRPr="00F00B71">
        <w:rPr>
          <w:rFonts w:asciiTheme="minorHAnsi" w:hAnsiTheme="minorHAnsi" w:cstheme="minorHAnsi"/>
          <w:b/>
          <w:color w:val="auto"/>
          <w:sz w:val="23"/>
          <w:szCs w:val="23"/>
        </w:rPr>
        <w:t>Studie</w:t>
      </w:r>
      <w:r w:rsidR="00871334" w:rsidRPr="00F00B71">
        <w:rPr>
          <w:rFonts w:asciiTheme="minorHAnsi" w:hAnsiTheme="minorHAnsi" w:cstheme="minorHAnsi"/>
          <w:b/>
          <w:color w:val="auto"/>
          <w:sz w:val="23"/>
          <w:szCs w:val="23"/>
        </w:rPr>
        <w:t xml:space="preserve"> </w:t>
      </w:r>
      <w:r w:rsidR="001E17F2" w:rsidRPr="00F00B71">
        <w:rPr>
          <w:rFonts w:asciiTheme="minorHAnsi" w:hAnsiTheme="minorHAnsi" w:cstheme="minorHAnsi"/>
          <w:b/>
          <w:color w:val="auto"/>
          <w:sz w:val="23"/>
          <w:szCs w:val="23"/>
        </w:rPr>
        <w:t>bude zpracována v následujícím rozsahu:</w:t>
      </w:r>
    </w:p>
    <w:p w:rsidR="001E17F2" w:rsidRPr="00F00B71" w:rsidRDefault="001E17F2"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Studie </w:t>
      </w:r>
      <w:r w:rsidR="006E31B6" w:rsidRPr="00F00B71">
        <w:rPr>
          <w:rFonts w:asciiTheme="minorHAnsi" w:hAnsiTheme="minorHAnsi" w:cstheme="minorHAnsi"/>
          <w:color w:val="auto"/>
          <w:sz w:val="23"/>
          <w:szCs w:val="23"/>
        </w:rPr>
        <w:t xml:space="preserve">úpravy stavebních objektů </w:t>
      </w:r>
      <w:r w:rsidRPr="00F00B71">
        <w:rPr>
          <w:rFonts w:asciiTheme="minorHAnsi" w:hAnsiTheme="minorHAnsi" w:cstheme="minorHAnsi"/>
          <w:color w:val="auto"/>
          <w:sz w:val="23"/>
          <w:szCs w:val="23"/>
        </w:rPr>
        <w:t>bude zpracována minimálně ve dvou základních variantách:</w:t>
      </w:r>
    </w:p>
    <w:p w:rsidR="001E17F2" w:rsidRPr="00F00B71" w:rsidRDefault="001E17F2" w:rsidP="009C7E26">
      <w:pPr>
        <w:pStyle w:val="Default"/>
        <w:numPr>
          <w:ilvl w:val="0"/>
          <w:numId w:val="1"/>
        </w:numPr>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Dle požadavku zadavatele </w:t>
      </w:r>
      <w:r w:rsidR="00B85D87" w:rsidRPr="00F00B71">
        <w:rPr>
          <w:rFonts w:asciiTheme="minorHAnsi" w:hAnsiTheme="minorHAnsi" w:cstheme="minorHAnsi"/>
          <w:color w:val="auto"/>
          <w:sz w:val="23"/>
          <w:szCs w:val="23"/>
        </w:rPr>
        <w:t>-</w:t>
      </w:r>
      <w:r w:rsidRPr="00F00B71">
        <w:rPr>
          <w:rFonts w:asciiTheme="minorHAnsi" w:hAnsiTheme="minorHAnsi" w:cstheme="minorHAnsi"/>
          <w:color w:val="auto"/>
          <w:sz w:val="23"/>
          <w:szCs w:val="23"/>
        </w:rPr>
        <w:t xml:space="preserve"> viz </w:t>
      </w:r>
      <w:r w:rsidR="00395989" w:rsidRPr="00F00B71">
        <w:rPr>
          <w:rFonts w:asciiTheme="minorHAnsi" w:hAnsiTheme="minorHAnsi" w:cstheme="minorHAnsi"/>
          <w:color w:val="auto"/>
        </w:rPr>
        <w:t xml:space="preserve">slovní popis úprav ND dle bodu 3.1 a </w:t>
      </w:r>
      <w:r w:rsidRPr="00F00B71">
        <w:rPr>
          <w:rFonts w:asciiTheme="minorHAnsi" w:hAnsiTheme="minorHAnsi" w:cstheme="minorHAnsi"/>
          <w:color w:val="auto"/>
          <w:sz w:val="23"/>
          <w:szCs w:val="23"/>
        </w:rPr>
        <w:t>přiložené půdorysy</w:t>
      </w:r>
      <w:r w:rsidR="0082208C" w:rsidRPr="00F00B71">
        <w:rPr>
          <w:rFonts w:asciiTheme="minorHAnsi" w:hAnsiTheme="minorHAnsi" w:cstheme="minorHAnsi"/>
          <w:color w:val="auto"/>
        </w:rPr>
        <w:t xml:space="preserve"> MOBA dle bodu 3.</w:t>
      </w:r>
      <w:r w:rsidR="00395989" w:rsidRPr="00F00B71">
        <w:rPr>
          <w:rFonts w:asciiTheme="minorHAnsi" w:hAnsiTheme="minorHAnsi" w:cstheme="minorHAnsi"/>
          <w:color w:val="auto"/>
        </w:rPr>
        <w:t>2</w:t>
      </w:r>
      <w:r w:rsidR="0082208C" w:rsidRPr="00F00B71">
        <w:rPr>
          <w:rFonts w:asciiTheme="minorHAnsi" w:hAnsiTheme="minorHAnsi" w:cstheme="minorHAnsi"/>
          <w:color w:val="auto"/>
        </w:rPr>
        <w:t xml:space="preserve">. - </w:t>
      </w:r>
      <w:r w:rsidR="00B85D87" w:rsidRPr="00F00B71">
        <w:rPr>
          <w:rFonts w:asciiTheme="minorHAnsi" w:hAnsiTheme="minorHAnsi" w:cstheme="minorHAnsi"/>
          <w:color w:val="auto"/>
        </w:rPr>
        <w:t>r</w:t>
      </w:r>
      <w:r w:rsidRPr="00F00B71">
        <w:rPr>
          <w:rFonts w:asciiTheme="minorHAnsi" w:hAnsiTheme="minorHAnsi" w:cstheme="minorHAnsi"/>
          <w:color w:val="auto"/>
        </w:rPr>
        <w:t>ozvržení místností dle</w:t>
      </w:r>
      <w:r w:rsidR="00B85D87" w:rsidRPr="00F00B71">
        <w:rPr>
          <w:rFonts w:asciiTheme="minorHAnsi" w:hAnsiTheme="minorHAnsi" w:cstheme="minorHAnsi"/>
          <w:color w:val="auto"/>
        </w:rPr>
        <w:t xml:space="preserve"> předaných podkladů</w:t>
      </w:r>
      <w:r w:rsidR="00511230" w:rsidRPr="00F00B71">
        <w:rPr>
          <w:rFonts w:asciiTheme="minorHAnsi" w:hAnsiTheme="minorHAnsi" w:cstheme="minorHAnsi"/>
          <w:color w:val="auto"/>
        </w:rPr>
        <w:t xml:space="preserve"> (viz příloha č. 7)</w:t>
      </w:r>
      <w:r w:rsidR="0082208C" w:rsidRPr="00F00B71">
        <w:rPr>
          <w:rFonts w:asciiTheme="minorHAnsi" w:hAnsiTheme="minorHAnsi" w:cstheme="minorHAnsi"/>
          <w:color w:val="auto"/>
        </w:rPr>
        <w:t>.</w:t>
      </w:r>
    </w:p>
    <w:p w:rsidR="001E17F2" w:rsidRPr="00F00B71" w:rsidRDefault="001E17F2" w:rsidP="009C7E26">
      <w:pPr>
        <w:pStyle w:val="Default"/>
        <w:numPr>
          <w:ilvl w:val="0"/>
          <w:numId w:val="1"/>
        </w:numPr>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Dle vlastního návrhu zpracovatele studie</w:t>
      </w:r>
      <w:r w:rsidR="00B85D87" w:rsidRPr="00F00B71">
        <w:rPr>
          <w:rFonts w:asciiTheme="minorHAnsi" w:hAnsiTheme="minorHAnsi" w:cstheme="minorHAnsi"/>
          <w:color w:val="auto"/>
          <w:sz w:val="23"/>
          <w:szCs w:val="23"/>
        </w:rPr>
        <w:t xml:space="preserve"> - </w:t>
      </w:r>
      <w:r w:rsidRPr="00F00B71">
        <w:rPr>
          <w:rFonts w:asciiTheme="minorHAnsi" w:hAnsiTheme="minorHAnsi" w:cstheme="minorHAnsi"/>
          <w:color w:val="auto"/>
        </w:rPr>
        <w:t xml:space="preserve"> </w:t>
      </w:r>
      <w:r w:rsidR="00484E2D" w:rsidRPr="00F00B71">
        <w:rPr>
          <w:rFonts w:asciiTheme="minorHAnsi" w:hAnsiTheme="minorHAnsi" w:cstheme="minorHAnsi"/>
          <w:color w:val="auto"/>
        </w:rPr>
        <w:t>v</w:t>
      </w:r>
      <w:r w:rsidRPr="00F00B71">
        <w:rPr>
          <w:rFonts w:asciiTheme="minorHAnsi" w:hAnsiTheme="minorHAnsi" w:cstheme="minorHAnsi"/>
          <w:color w:val="auto"/>
        </w:rPr>
        <w:t>lastní rozvržení místností dle uvážení zpracovatele proj</w:t>
      </w:r>
      <w:r w:rsidR="00B85D87" w:rsidRPr="00F00B71">
        <w:rPr>
          <w:rFonts w:asciiTheme="minorHAnsi" w:hAnsiTheme="minorHAnsi" w:cstheme="minorHAnsi"/>
          <w:color w:val="auto"/>
        </w:rPr>
        <w:t>ektové dokumentace</w:t>
      </w:r>
      <w:r w:rsidRPr="00F00B71">
        <w:rPr>
          <w:rFonts w:asciiTheme="minorHAnsi" w:hAnsiTheme="minorHAnsi" w:cstheme="minorHAnsi"/>
          <w:color w:val="auto"/>
        </w:rPr>
        <w:t>.</w:t>
      </w:r>
    </w:p>
    <w:p w:rsidR="006E31B6" w:rsidRPr="00F00B71" w:rsidRDefault="006E31B6"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Dopravní studie bude navrhovat variantní návrhy zásobování zázemí ND včetně ploch pro parkování hostů a zaměstnanců ND a MOBA.</w:t>
      </w:r>
    </w:p>
    <w:p w:rsidR="009E099A" w:rsidRPr="00F00B71" w:rsidRDefault="00D77B89" w:rsidP="009C7E26">
      <w:pPr>
        <w:pStyle w:val="Default"/>
        <w:spacing w:after="22"/>
        <w:jc w:val="both"/>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Finálním výstupem </w:t>
      </w:r>
      <w:r w:rsidR="009E099A" w:rsidRPr="00F00B71">
        <w:rPr>
          <w:rFonts w:asciiTheme="minorHAnsi" w:hAnsiTheme="minorHAnsi" w:cstheme="minorHAnsi"/>
          <w:color w:val="auto"/>
          <w:sz w:val="23"/>
          <w:szCs w:val="23"/>
        </w:rPr>
        <w:t>bude odsouhlasená studie ze strany objednatele, která bude respektovat stanovisko památkové péče a hasičského záchranného sboru</w:t>
      </w:r>
      <w:r w:rsidR="0011256D" w:rsidRPr="00F00B71">
        <w:rPr>
          <w:rFonts w:asciiTheme="minorHAnsi" w:hAnsiTheme="minorHAnsi" w:cstheme="minorHAnsi"/>
          <w:color w:val="auto"/>
          <w:sz w:val="23"/>
          <w:szCs w:val="23"/>
        </w:rPr>
        <w:t>, ŘSD, KÚ MSK, PČR</w:t>
      </w:r>
      <w:r w:rsidR="009E099A" w:rsidRPr="00F00B71">
        <w:rPr>
          <w:rFonts w:asciiTheme="minorHAnsi" w:hAnsiTheme="minorHAnsi" w:cstheme="minorHAnsi"/>
          <w:color w:val="auto"/>
          <w:sz w:val="23"/>
          <w:szCs w:val="23"/>
        </w:rPr>
        <w:t xml:space="preserve">. Součástí </w:t>
      </w:r>
      <w:r w:rsidR="007C0A51">
        <w:rPr>
          <w:rFonts w:asciiTheme="minorHAnsi" w:hAnsiTheme="minorHAnsi" w:cstheme="minorHAnsi"/>
          <w:color w:val="auto"/>
          <w:sz w:val="23"/>
          <w:szCs w:val="23"/>
        </w:rPr>
        <w:t>tohoto stupně</w:t>
      </w:r>
      <w:r w:rsidR="009E099A" w:rsidRPr="00F00B71">
        <w:rPr>
          <w:rFonts w:asciiTheme="minorHAnsi" w:hAnsiTheme="minorHAnsi" w:cstheme="minorHAnsi"/>
          <w:color w:val="auto"/>
          <w:sz w:val="23"/>
          <w:szCs w:val="23"/>
        </w:rPr>
        <w:t xml:space="preserve"> dokumentace bude i propočet nákladů</w:t>
      </w:r>
      <w:r w:rsidR="00E67AF4" w:rsidRPr="00F00B71">
        <w:rPr>
          <w:rFonts w:asciiTheme="minorHAnsi" w:hAnsiTheme="minorHAnsi" w:cstheme="minorHAnsi"/>
          <w:color w:val="auto"/>
          <w:sz w:val="23"/>
          <w:szCs w:val="23"/>
        </w:rPr>
        <w:t xml:space="preserve"> na realizaci rekonstrukce objekt</w:t>
      </w:r>
      <w:r w:rsidR="007C0A51">
        <w:rPr>
          <w:rFonts w:asciiTheme="minorHAnsi" w:hAnsiTheme="minorHAnsi" w:cstheme="minorHAnsi"/>
          <w:color w:val="auto"/>
          <w:sz w:val="23"/>
          <w:szCs w:val="23"/>
        </w:rPr>
        <w:t>ů</w:t>
      </w:r>
      <w:r w:rsidR="009E099A" w:rsidRPr="00F00B71">
        <w:rPr>
          <w:rFonts w:asciiTheme="minorHAnsi" w:hAnsiTheme="minorHAnsi" w:cstheme="minorHAnsi"/>
          <w:color w:val="auto"/>
          <w:sz w:val="23"/>
          <w:szCs w:val="23"/>
        </w:rPr>
        <w:t xml:space="preserve"> zpracovaný v členění dle jednotlivých stavebních oddílů HSV a PSV.</w:t>
      </w:r>
      <w:r w:rsidR="00511230" w:rsidRPr="00F00B71">
        <w:rPr>
          <w:rFonts w:asciiTheme="minorHAnsi" w:hAnsiTheme="minorHAnsi" w:cstheme="minorHAnsi"/>
          <w:color w:val="auto"/>
          <w:sz w:val="23"/>
          <w:szCs w:val="23"/>
        </w:rPr>
        <w:t xml:space="preserve"> Náklady budou rozděleny po jednotlivých objektech a také jako celkový součet.</w:t>
      </w:r>
    </w:p>
    <w:p w:rsidR="0027266C" w:rsidRPr="00F00B71" w:rsidRDefault="0027266C" w:rsidP="009C7E26">
      <w:pPr>
        <w:pStyle w:val="Default"/>
        <w:spacing w:after="22"/>
        <w:jc w:val="both"/>
        <w:rPr>
          <w:rFonts w:asciiTheme="minorHAnsi" w:hAnsiTheme="minorHAnsi" w:cstheme="minorHAnsi"/>
          <w:color w:val="auto"/>
          <w:sz w:val="23"/>
          <w:szCs w:val="23"/>
        </w:rPr>
      </w:pPr>
    </w:p>
    <w:p w:rsidR="00857661" w:rsidRPr="00F00B71" w:rsidRDefault="009C3878" w:rsidP="009C7E26">
      <w:pPr>
        <w:pStyle w:val="Odstavecseseznamem"/>
        <w:spacing w:after="160" w:line="259" w:lineRule="auto"/>
        <w:ind w:left="0"/>
        <w:jc w:val="both"/>
        <w:rPr>
          <w:rFonts w:asciiTheme="minorHAnsi" w:hAnsiTheme="minorHAnsi" w:cstheme="minorHAnsi"/>
          <w:b/>
          <w:sz w:val="23"/>
          <w:szCs w:val="23"/>
          <w:u w:val="single"/>
        </w:rPr>
      </w:pPr>
      <w:r w:rsidRPr="00F00B71">
        <w:rPr>
          <w:rFonts w:asciiTheme="minorHAnsi" w:hAnsiTheme="minorHAnsi" w:cstheme="minorHAnsi"/>
          <w:b/>
          <w:sz w:val="23"/>
          <w:szCs w:val="23"/>
          <w:u w:val="single"/>
        </w:rPr>
        <w:t>Výkresová</w:t>
      </w:r>
      <w:r>
        <w:rPr>
          <w:rFonts w:asciiTheme="minorHAnsi" w:hAnsiTheme="minorHAnsi" w:cstheme="minorHAnsi"/>
          <w:b/>
          <w:sz w:val="23"/>
          <w:szCs w:val="23"/>
          <w:u w:val="single"/>
        </w:rPr>
        <w:t xml:space="preserve"> a textová </w:t>
      </w:r>
      <w:r w:rsidR="00857661" w:rsidRPr="00F00B71">
        <w:rPr>
          <w:rFonts w:asciiTheme="minorHAnsi" w:hAnsiTheme="minorHAnsi" w:cstheme="minorHAnsi"/>
          <w:b/>
          <w:sz w:val="23"/>
          <w:szCs w:val="23"/>
          <w:u w:val="single"/>
        </w:rPr>
        <w:t>část:</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Textová část - zhodnocení zadání, popis současného stavu a navrhovaného řešení, včetně popisu navrhovaných technologií a využitelnosti objektu</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Ortofotomapa + výřez územního plánu</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Katastrální mapa, současný stav, popis majetkových vztahů v řešených lokalitách</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 xml:space="preserve">Výškopis a polohopis, doměření okolí objektů k příloze č. </w:t>
      </w:r>
      <w:r w:rsidRPr="00F00B71">
        <w:rPr>
          <w:rFonts w:asciiTheme="minorHAnsi" w:hAnsiTheme="minorHAnsi" w:cstheme="minorHAnsi"/>
          <w:b/>
          <w:sz w:val="23"/>
          <w:szCs w:val="23"/>
        </w:rPr>
        <w:t>5</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Situace, současný stav</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Situace, včetně objektů pro parkování a dopravního napojení</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Výkresy bouraných konstrukcí – stěny, příčky, stropy (půdorysy, řezy)</w:t>
      </w:r>
    </w:p>
    <w:p w:rsidR="001E17F2" w:rsidRPr="00F00B71" w:rsidRDefault="005641E5"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Půdorysy návrhu</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Řezy návrhu (</w:t>
      </w:r>
      <w:r w:rsidR="000139D1" w:rsidRPr="00F00B71">
        <w:rPr>
          <w:rFonts w:asciiTheme="minorHAnsi" w:hAnsiTheme="minorHAnsi" w:cstheme="minorHAnsi"/>
          <w:sz w:val="23"/>
          <w:szCs w:val="23"/>
        </w:rPr>
        <w:t>s důrazem na</w:t>
      </w:r>
      <w:r w:rsidRPr="00F00B71">
        <w:rPr>
          <w:rFonts w:asciiTheme="minorHAnsi" w:hAnsiTheme="minorHAnsi" w:cstheme="minorHAnsi"/>
          <w:sz w:val="23"/>
          <w:szCs w:val="23"/>
        </w:rPr>
        <w:t xml:space="preserve"> propojení objektů)</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Pohledy návrhu</w:t>
      </w:r>
    </w:p>
    <w:p w:rsidR="001E17F2"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 xml:space="preserve">Vizualizace návrhu interiér (v každém NP minimálně </w:t>
      </w:r>
      <w:r w:rsidR="00E67AF4" w:rsidRPr="00F00B71">
        <w:rPr>
          <w:rFonts w:asciiTheme="minorHAnsi" w:hAnsiTheme="minorHAnsi" w:cstheme="minorHAnsi"/>
          <w:sz w:val="23"/>
          <w:szCs w:val="23"/>
        </w:rPr>
        <w:t>jedna vizualizace</w:t>
      </w:r>
      <w:r w:rsidRPr="00F00B71">
        <w:rPr>
          <w:rFonts w:asciiTheme="minorHAnsi" w:hAnsiTheme="minorHAnsi" w:cstheme="minorHAnsi"/>
          <w:sz w:val="23"/>
          <w:szCs w:val="23"/>
        </w:rPr>
        <w:t>)</w:t>
      </w:r>
    </w:p>
    <w:p w:rsidR="00BA7A70" w:rsidRPr="009C7E26" w:rsidRDefault="00BA7A70"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9C7E26">
        <w:rPr>
          <w:rFonts w:asciiTheme="minorHAnsi" w:hAnsiTheme="minorHAnsi" w:cstheme="minorHAnsi"/>
          <w:sz w:val="23"/>
          <w:szCs w:val="23"/>
        </w:rPr>
        <w:t>Vizualizace exteriéry (společně pro všechny tři studie))</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Odhad investičních a provozních nákladů (zejména energetické náročnosti)</w:t>
      </w:r>
    </w:p>
    <w:p w:rsidR="001E17F2" w:rsidRPr="00F00B71" w:rsidRDefault="001E17F2"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Návrh rozsahu dalších průzkumů</w:t>
      </w:r>
    </w:p>
    <w:p w:rsidR="00520C63" w:rsidRPr="00F00B71" w:rsidRDefault="00520C63" w:rsidP="009C7E26">
      <w:pPr>
        <w:pStyle w:val="Odstavecseseznamem"/>
        <w:numPr>
          <w:ilvl w:val="0"/>
          <w:numId w:val="8"/>
        </w:numPr>
        <w:spacing w:after="160" w:line="259" w:lineRule="auto"/>
        <w:ind w:left="426"/>
        <w:jc w:val="both"/>
        <w:rPr>
          <w:rFonts w:asciiTheme="minorHAnsi" w:hAnsiTheme="minorHAnsi" w:cstheme="minorHAnsi"/>
          <w:sz w:val="23"/>
          <w:szCs w:val="23"/>
        </w:rPr>
      </w:pPr>
      <w:r w:rsidRPr="00F00B71">
        <w:rPr>
          <w:rFonts w:asciiTheme="minorHAnsi" w:hAnsiTheme="minorHAnsi" w:cstheme="minorHAnsi"/>
          <w:sz w:val="23"/>
          <w:szCs w:val="23"/>
        </w:rPr>
        <w:t>Obsah výkresové i textové část bude zpracován v souladu se současně platnou legislativou (zákony, vyhlášky, normy)</w:t>
      </w:r>
    </w:p>
    <w:p w:rsidR="00F07DF3" w:rsidRPr="00F00B71" w:rsidRDefault="00F07DF3" w:rsidP="009C7E26">
      <w:pPr>
        <w:ind w:left="66"/>
        <w:jc w:val="both"/>
        <w:rPr>
          <w:rFonts w:cstheme="minorHAnsi"/>
          <w:sz w:val="23"/>
          <w:szCs w:val="23"/>
        </w:rPr>
      </w:pPr>
      <w:r w:rsidRPr="00F00B71">
        <w:rPr>
          <w:rFonts w:cstheme="minorHAnsi"/>
          <w:sz w:val="23"/>
          <w:szCs w:val="23"/>
        </w:rPr>
        <w:t>V</w:t>
      </w:r>
      <w:r w:rsidR="00857661" w:rsidRPr="00F00B71">
        <w:rPr>
          <w:rFonts w:cstheme="minorHAnsi"/>
          <w:sz w:val="23"/>
          <w:szCs w:val="23"/>
        </w:rPr>
        <w:t>ýkresy studie</w:t>
      </w:r>
      <w:r w:rsidRPr="00F00B71">
        <w:rPr>
          <w:rFonts w:cstheme="minorHAnsi"/>
          <w:sz w:val="23"/>
          <w:szCs w:val="23"/>
        </w:rPr>
        <w:t xml:space="preserve"> </w:t>
      </w:r>
      <w:r w:rsidR="00857661" w:rsidRPr="00F00B71">
        <w:rPr>
          <w:rFonts w:cstheme="minorHAnsi"/>
          <w:sz w:val="23"/>
          <w:szCs w:val="23"/>
        </w:rPr>
        <w:t xml:space="preserve">(půdorysy, řezy, pohledy, vizualizace), budou předloženy jak po jednotlivých objektech samostatně, tak i jako výkresy </w:t>
      </w:r>
      <w:r w:rsidR="00511230" w:rsidRPr="00F00B71">
        <w:rPr>
          <w:rFonts w:cstheme="minorHAnsi"/>
          <w:sz w:val="23"/>
          <w:szCs w:val="23"/>
        </w:rPr>
        <w:t>obou</w:t>
      </w:r>
      <w:r w:rsidR="00BC57C7" w:rsidRPr="00F00B71">
        <w:rPr>
          <w:rFonts w:cstheme="minorHAnsi"/>
          <w:sz w:val="23"/>
          <w:szCs w:val="23"/>
        </w:rPr>
        <w:t xml:space="preserve"> stavebních </w:t>
      </w:r>
      <w:r w:rsidR="00511230" w:rsidRPr="00F00B71">
        <w:rPr>
          <w:rFonts w:cstheme="minorHAnsi"/>
          <w:sz w:val="23"/>
          <w:szCs w:val="23"/>
        </w:rPr>
        <w:t>objektů společné</w:t>
      </w:r>
      <w:r w:rsidR="00857661" w:rsidRPr="00F00B71">
        <w:rPr>
          <w:rFonts w:cstheme="minorHAnsi"/>
          <w:sz w:val="23"/>
          <w:szCs w:val="23"/>
        </w:rPr>
        <w:t>.</w:t>
      </w:r>
    </w:p>
    <w:p w:rsidR="006B2E9E" w:rsidRPr="00F00B71" w:rsidRDefault="006B2E9E" w:rsidP="009C7E26">
      <w:pPr>
        <w:pStyle w:val="Default"/>
        <w:spacing w:after="22"/>
        <w:jc w:val="both"/>
        <w:rPr>
          <w:rFonts w:asciiTheme="minorHAnsi" w:hAnsiTheme="minorHAnsi" w:cstheme="minorHAnsi"/>
          <w:b/>
          <w:color w:val="auto"/>
          <w:sz w:val="23"/>
          <w:szCs w:val="23"/>
          <w:u w:val="single"/>
        </w:rPr>
      </w:pPr>
    </w:p>
    <w:p w:rsidR="006B2E9E" w:rsidRPr="00F00B71" w:rsidRDefault="00BC57C7" w:rsidP="009C7E26">
      <w:pPr>
        <w:pStyle w:val="Default"/>
        <w:spacing w:after="22"/>
        <w:jc w:val="both"/>
        <w:rPr>
          <w:b/>
          <w:color w:val="auto"/>
          <w:sz w:val="23"/>
          <w:szCs w:val="23"/>
        </w:rPr>
      </w:pPr>
      <w:r w:rsidRPr="00F00B71">
        <w:rPr>
          <w:b/>
          <w:bCs/>
          <w:color w:val="auto"/>
          <w:sz w:val="23"/>
          <w:szCs w:val="23"/>
        </w:rPr>
        <w:t xml:space="preserve">4.2. </w:t>
      </w:r>
      <w:r w:rsidR="006B2E9E" w:rsidRPr="00F00B71">
        <w:rPr>
          <w:b/>
          <w:bCs/>
          <w:color w:val="auto"/>
          <w:sz w:val="23"/>
          <w:szCs w:val="23"/>
        </w:rPr>
        <w:t>Dokumentac</w:t>
      </w:r>
      <w:r w:rsidR="0011256D" w:rsidRPr="00F00B71">
        <w:rPr>
          <w:b/>
          <w:bCs/>
          <w:color w:val="auto"/>
          <w:sz w:val="23"/>
          <w:szCs w:val="23"/>
        </w:rPr>
        <w:t>e pro územní</w:t>
      </w:r>
      <w:r w:rsidR="006B2E9E" w:rsidRPr="00F00B71">
        <w:rPr>
          <w:b/>
          <w:bCs/>
          <w:color w:val="auto"/>
          <w:sz w:val="23"/>
          <w:szCs w:val="23"/>
        </w:rPr>
        <w:t xml:space="preserve"> řízení</w:t>
      </w:r>
      <w:r w:rsidR="00BA7A70">
        <w:rPr>
          <w:b/>
          <w:bCs/>
          <w:color w:val="auto"/>
          <w:sz w:val="23"/>
          <w:szCs w:val="23"/>
        </w:rPr>
        <w:t xml:space="preserve"> včetně IČ</w:t>
      </w:r>
    </w:p>
    <w:p w:rsidR="006B2E9E" w:rsidRDefault="006B2E9E" w:rsidP="009C7E26">
      <w:pPr>
        <w:pStyle w:val="Default"/>
        <w:spacing w:after="22"/>
        <w:jc w:val="both"/>
        <w:rPr>
          <w:color w:val="auto"/>
          <w:sz w:val="23"/>
          <w:szCs w:val="23"/>
        </w:rPr>
      </w:pPr>
      <w:r w:rsidRPr="00F00B71">
        <w:rPr>
          <w:color w:val="auto"/>
          <w:sz w:val="23"/>
          <w:szCs w:val="23"/>
        </w:rPr>
        <w:t>bude zpracována v rozsahu Vyhlášky č. 499/2006 Sb.</w:t>
      </w:r>
    </w:p>
    <w:p w:rsidR="00461E60" w:rsidRPr="00F00B71" w:rsidRDefault="00461E60" w:rsidP="009C7E26">
      <w:pPr>
        <w:pStyle w:val="Default"/>
        <w:spacing w:after="22"/>
        <w:jc w:val="both"/>
        <w:rPr>
          <w:color w:val="auto"/>
          <w:sz w:val="23"/>
          <w:szCs w:val="23"/>
        </w:rPr>
      </w:pPr>
    </w:p>
    <w:p w:rsidR="006E31B6" w:rsidRPr="00F00B71" w:rsidRDefault="006E31B6" w:rsidP="009C7E26">
      <w:pPr>
        <w:jc w:val="both"/>
        <w:rPr>
          <w:sz w:val="23"/>
          <w:szCs w:val="23"/>
        </w:rPr>
      </w:pPr>
      <w:r w:rsidRPr="00F00B71">
        <w:rPr>
          <w:b/>
          <w:sz w:val="23"/>
          <w:szCs w:val="23"/>
        </w:rPr>
        <w:t>4.2.1.</w:t>
      </w:r>
      <w:r w:rsidRPr="00F00B71">
        <w:rPr>
          <w:sz w:val="23"/>
          <w:szCs w:val="23"/>
        </w:rPr>
        <w:t xml:space="preserve"> Součástí dokumentace budou následující průzkumy: </w:t>
      </w:r>
    </w:p>
    <w:p w:rsidR="006E31B6" w:rsidRPr="00F00B71" w:rsidRDefault="006E31B6" w:rsidP="009C7E26">
      <w:pPr>
        <w:pStyle w:val="Odstavecseseznamem"/>
        <w:numPr>
          <w:ilvl w:val="0"/>
          <w:numId w:val="40"/>
        </w:numPr>
        <w:jc w:val="both"/>
        <w:rPr>
          <w:rFonts w:asciiTheme="minorHAnsi" w:hAnsiTheme="minorHAnsi" w:cstheme="minorBidi"/>
          <w:sz w:val="23"/>
          <w:szCs w:val="23"/>
        </w:rPr>
      </w:pPr>
      <w:r w:rsidRPr="00F00B71">
        <w:rPr>
          <w:sz w:val="23"/>
          <w:szCs w:val="23"/>
        </w:rPr>
        <w:t xml:space="preserve">geologický průzkum </w:t>
      </w:r>
    </w:p>
    <w:p w:rsidR="006E31B6" w:rsidRPr="00F00B71" w:rsidRDefault="006E31B6" w:rsidP="009C7E26">
      <w:pPr>
        <w:pStyle w:val="Odstavecseseznamem"/>
        <w:numPr>
          <w:ilvl w:val="0"/>
          <w:numId w:val="40"/>
        </w:numPr>
        <w:jc w:val="both"/>
        <w:rPr>
          <w:rFonts w:asciiTheme="minorHAnsi" w:hAnsiTheme="minorHAnsi" w:cstheme="minorBidi"/>
          <w:sz w:val="23"/>
          <w:szCs w:val="23"/>
        </w:rPr>
      </w:pPr>
      <w:r w:rsidRPr="00F00B71">
        <w:rPr>
          <w:sz w:val="23"/>
          <w:szCs w:val="23"/>
        </w:rPr>
        <w:t>hydrogeologický průzkum</w:t>
      </w:r>
    </w:p>
    <w:p w:rsidR="006E31B6" w:rsidRPr="00F00B71" w:rsidRDefault="006E31B6" w:rsidP="009C7E26">
      <w:pPr>
        <w:pStyle w:val="Odstavecseseznamem"/>
        <w:numPr>
          <w:ilvl w:val="0"/>
          <w:numId w:val="40"/>
        </w:numPr>
        <w:jc w:val="both"/>
        <w:rPr>
          <w:rFonts w:asciiTheme="minorHAnsi" w:hAnsiTheme="minorHAnsi" w:cstheme="minorBidi"/>
          <w:sz w:val="23"/>
          <w:szCs w:val="23"/>
        </w:rPr>
      </w:pPr>
      <w:r w:rsidRPr="00F00B71">
        <w:rPr>
          <w:sz w:val="23"/>
          <w:szCs w:val="23"/>
        </w:rPr>
        <w:t>radonový průzkum</w:t>
      </w:r>
    </w:p>
    <w:p w:rsidR="006E31B6" w:rsidRPr="00F00B71" w:rsidRDefault="006E31B6" w:rsidP="009C7E26">
      <w:pPr>
        <w:pStyle w:val="Odstavecseseznamem"/>
        <w:numPr>
          <w:ilvl w:val="0"/>
          <w:numId w:val="40"/>
        </w:numPr>
        <w:jc w:val="both"/>
        <w:rPr>
          <w:rFonts w:asciiTheme="minorHAnsi" w:hAnsiTheme="minorHAnsi" w:cstheme="minorBidi"/>
          <w:sz w:val="23"/>
          <w:szCs w:val="23"/>
        </w:rPr>
      </w:pPr>
      <w:r w:rsidRPr="00F00B71">
        <w:rPr>
          <w:sz w:val="23"/>
          <w:szCs w:val="23"/>
        </w:rPr>
        <w:t>dendrologický průzkum</w:t>
      </w:r>
    </w:p>
    <w:p w:rsidR="00BA7A70" w:rsidRPr="00BA7A70" w:rsidRDefault="006E31B6" w:rsidP="009C7E26">
      <w:pPr>
        <w:pStyle w:val="Odstavecseseznamem"/>
        <w:numPr>
          <w:ilvl w:val="0"/>
          <w:numId w:val="40"/>
        </w:numPr>
        <w:jc w:val="both"/>
        <w:rPr>
          <w:rFonts w:asciiTheme="minorHAnsi" w:hAnsiTheme="minorHAnsi" w:cstheme="minorBidi"/>
          <w:sz w:val="23"/>
          <w:szCs w:val="23"/>
        </w:rPr>
      </w:pPr>
      <w:r w:rsidRPr="00F00B71">
        <w:rPr>
          <w:sz w:val="23"/>
          <w:szCs w:val="23"/>
        </w:rPr>
        <w:t xml:space="preserve">ornitologický průzkum </w:t>
      </w:r>
    </w:p>
    <w:p w:rsidR="006E31B6" w:rsidRPr="009C7E26" w:rsidRDefault="00BA7A70" w:rsidP="009C7E26">
      <w:pPr>
        <w:pStyle w:val="Odstavecseseznamem"/>
        <w:numPr>
          <w:ilvl w:val="0"/>
          <w:numId w:val="40"/>
        </w:numPr>
        <w:jc w:val="both"/>
        <w:rPr>
          <w:rFonts w:asciiTheme="minorHAnsi" w:hAnsiTheme="minorHAnsi" w:cstheme="minorBidi"/>
          <w:sz w:val="23"/>
          <w:szCs w:val="23"/>
        </w:rPr>
      </w:pPr>
      <w:r w:rsidRPr="009C7E26">
        <w:rPr>
          <w:sz w:val="23"/>
          <w:szCs w:val="23"/>
        </w:rPr>
        <w:t xml:space="preserve">hluková studie </w:t>
      </w:r>
      <w:r w:rsidR="006E31B6" w:rsidRPr="009C7E26">
        <w:rPr>
          <w:sz w:val="23"/>
          <w:szCs w:val="23"/>
        </w:rPr>
        <w:t>apod.,</w:t>
      </w:r>
    </w:p>
    <w:p w:rsidR="0011256D" w:rsidRPr="00F00B71" w:rsidRDefault="0011256D" w:rsidP="009C7E26">
      <w:pPr>
        <w:pStyle w:val="Default"/>
        <w:spacing w:after="22"/>
        <w:jc w:val="both"/>
        <w:rPr>
          <w:b/>
          <w:color w:val="auto"/>
          <w:sz w:val="23"/>
          <w:szCs w:val="23"/>
        </w:rPr>
      </w:pPr>
      <w:r w:rsidRPr="00F00B71">
        <w:rPr>
          <w:b/>
          <w:bCs/>
          <w:color w:val="auto"/>
          <w:sz w:val="23"/>
          <w:szCs w:val="23"/>
        </w:rPr>
        <w:t>4.3. Dokumentace pro stavební řízení</w:t>
      </w:r>
      <w:r w:rsidR="00BA7A70">
        <w:rPr>
          <w:b/>
          <w:bCs/>
          <w:color w:val="auto"/>
          <w:sz w:val="23"/>
          <w:szCs w:val="23"/>
        </w:rPr>
        <w:t xml:space="preserve"> včetně IČ</w:t>
      </w:r>
    </w:p>
    <w:p w:rsidR="0011256D" w:rsidRPr="00F00B71" w:rsidRDefault="0011256D" w:rsidP="009C7E26">
      <w:pPr>
        <w:pStyle w:val="Default"/>
        <w:spacing w:after="22"/>
        <w:jc w:val="both"/>
        <w:rPr>
          <w:color w:val="auto"/>
          <w:sz w:val="23"/>
          <w:szCs w:val="23"/>
        </w:rPr>
      </w:pPr>
      <w:r w:rsidRPr="00F00B71">
        <w:rPr>
          <w:color w:val="auto"/>
          <w:sz w:val="23"/>
          <w:szCs w:val="23"/>
        </w:rPr>
        <w:t>bude zpracována v rozsahu Vyhlášky č. 499/2006 Sb.</w:t>
      </w:r>
    </w:p>
    <w:p w:rsidR="0011256D" w:rsidRPr="00F00B71" w:rsidRDefault="0011256D" w:rsidP="006B2E9E">
      <w:pPr>
        <w:pStyle w:val="Default"/>
        <w:spacing w:after="22"/>
        <w:rPr>
          <w:color w:val="auto"/>
          <w:sz w:val="23"/>
          <w:szCs w:val="23"/>
        </w:rPr>
      </w:pPr>
    </w:p>
    <w:p w:rsidR="006B2E9E" w:rsidRPr="00F00B71" w:rsidRDefault="0011256D" w:rsidP="009C7E26">
      <w:pPr>
        <w:pStyle w:val="Default"/>
        <w:spacing w:after="22"/>
        <w:jc w:val="both"/>
        <w:rPr>
          <w:color w:val="auto"/>
          <w:sz w:val="23"/>
          <w:szCs w:val="23"/>
        </w:rPr>
      </w:pPr>
      <w:r w:rsidRPr="00F00B71">
        <w:rPr>
          <w:b/>
          <w:color w:val="auto"/>
          <w:sz w:val="23"/>
          <w:szCs w:val="23"/>
        </w:rPr>
        <w:t>4.4</w:t>
      </w:r>
      <w:r w:rsidR="00BC57C7" w:rsidRPr="00F00B71">
        <w:rPr>
          <w:b/>
          <w:color w:val="auto"/>
          <w:sz w:val="23"/>
          <w:szCs w:val="23"/>
        </w:rPr>
        <w:t xml:space="preserve">. </w:t>
      </w:r>
      <w:r w:rsidR="006B2E9E" w:rsidRPr="00F00B71">
        <w:rPr>
          <w:b/>
          <w:color w:val="auto"/>
          <w:sz w:val="23"/>
          <w:szCs w:val="23"/>
        </w:rPr>
        <w:t xml:space="preserve">Dokumentace </w:t>
      </w:r>
      <w:r w:rsidR="006C4F55">
        <w:rPr>
          <w:b/>
          <w:color w:val="auto"/>
          <w:sz w:val="23"/>
          <w:szCs w:val="23"/>
        </w:rPr>
        <w:t>pro provedení stavby</w:t>
      </w:r>
      <w:r w:rsidR="006B2E9E" w:rsidRPr="00F00B71">
        <w:rPr>
          <w:b/>
          <w:color w:val="auto"/>
          <w:sz w:val="23"/>
          <w:szCs w:val="23"/>
        </w:rPr>
        <w:t xml:space="preserve"> (DPS)</w:t>
      </w:r>
    </w:p>
    <w:p w:rsidR="006B2E9E" w:rsidRPr="00F00B71" w:rsidRDefault="006B2E9E" w:rsidP="009C7E26">
      <w:pPr>
        <w:pStyle w:val="Default"/>
        <w:spacing w:after="22"/>
        <w:jc w:val="both"/>
        <w:rPr>
          <w:color w:val="auto"/>
          <w:sz w:val="23"/>
          <w:szCs w:val="23"/>
        </w:rPr>
      </w:pPr>
      <w:r w:rsidRPr="00F00B71">
        <w:rPr>
          <w:color w:val="auto"/>
          <w:sz w:val="23"/>
          <w:szCs w:val="23"/>
        </w:rPr>
        <w:t>bude zpracována v rozsahu Vyhlášky č. 499/2006 Sb. jejichž součástí bude rovněž:</w:t>
      </w:r>
    </w:p>
    <w:p w:rsidR="006B2E9E" w:rsidRPr="00F00B71" w:rsidRDefault="006B2E9E" w:rsidP="009C7E26">
      <w:pPr>
        <w:pStyle w:val="Odstavecseseznamem"/>
        <w:numPr>
          <w:ilvl w:val="0"/>
          <w:numId w:val="34"/>
        </w:numPr>
        <w:spacing w:after="22"/>
        <w:ind w:left="567"/>
        <w:jc w:val="both"/>
        <w:rPr>
          <w:rFonts w:cs="Calibri"/>
          <w:sz w:val="23"/>
          <w:szCs w:val="23"/>
        </w:rPr>
      </w:pPr>
      <w:r w:rsidRPr="00F00B71">
        <w:rPr>
          <w:rFonts w:cs="Calibri"/>
          <w:sz w:val="23"/>
          <w:szCs w:val="23"/>
        </w:rPr>
        <w:t xml:space="preserve">výkresová a textová část zásad organizace výstavby (ZOV) spočívající minimálně v situačním výkresu zařízení staveniště, záborech okolních pozemků, případně výkresu dopravního značení a technické zprávy, </w:t>
      </w:r>
    </w:p>
    <w:p w:rsidR="006B2E9E" w:rsidRPr="00F00B71" w:rsidRDefault="006B2E9E" w:rsidP="009C7E26">
      <w:pPr>
        <w:pStyle w:val="Default"/>
        <w:numPr>
          <w:ilvl w:val="0"/>
          <w:numId w:val="34"/>
        </w:numPr>
        <w:spacing w:after="22"/>
        <w:ind w:left="567"/>
        <w:jc w:val="both"/>
        <w:rPr>
          <w:color w:val="auto"/>
          <w:sz w:val="23"/>
          <w:szCs w:val="23"/>
        </w:rPr>
      </w:pPr>
      <w:r w:rsidRPr="00F00B71">
        <w:rPr>
          <w:color w:val="auto"/>
          <w:sz w:val="23"/>
          <w:szCs w:val="23"/>
        </w:rPr>
        <w:t>Zvláštní požadavky na zpracování výkresové části dokumentace:</w:t>
      </w:r>
    </w:p>
    <w:p w:rsidR="006B2E9E" w:rsidRPr="00F00B71" w:rsidRDefault="006B2E9E" w:rsidP="009C7E26">
      <w:pPr>
        <w:pStyle w:val="Default"/>
        <w:numPr>
          <w:ilvl w:val="2"/>
          <w:numId w:val="34"/>
        </w:numPr>
        <w:spacing w:line="276" w:lineRule="auto"/>
        <w:ind w:left="1134" w:hanging="357"/>
        <w:jc w:val="both"/>
        <w:rPr>
          <w:color w:val="auto"/>
          <w:sz w:val="23"/>
          <w:szCs w:val="23"/>
        </w:rPr>
      </w:pPr>
      <w:r w:rsidRPr="00F00B71">
        <w:rPr>
          <w:color w:val="auto"/>
          <w:sz w:val="23"/>
          <w:szCs w:val="23"/>
        </w:rPr>
        <w:t>armovací výkresy (dílenská dokumentace) veškerých betonových konstrukcí,</w:t>
      </w:r>
    </w:p>
    <w:p w:rsidR="006B2E9E" w:rsidRPr="00F00B71" w:rsidRDefault="006B2E9E" w:rsidP="009C7E26">
      <w:pPr>
        <w:pStyle w:val="Default"/>
        <w:numPr>
          <w:ilvl w:val="2"/>
          <w:numId w:val="34"/>
        </w:numPr>
        <w:spacing w:line="276" w:lineRule="auto"/>
        <w:ind w:left="1134" w:hanging="357"/>
        <w:jc w:val="both"/>
        <w:rPr>
          <w:color w:val="auto"/>
          <w:sz w:val="23"/>
          <w:szCs w:val="23"/>
        </w:rPr>
      </w:pPr>
      <w:r w:rsidRPr="00F00B71">
        <w:rPr>
          <w:color w:val="auto"/>
          <w:sz w:val="23"/>
          <w:szCs w:val="23"/>
        </w:rPr>
        <w:t>koordinační výkresy veškerých profesí umístěných rovněž vůči nosným konstrukcím; kritická místa křížení budou v rámci dokumentace pro provádění stavby rozkreslena v detailech řezů včetně prostorového uspořádání včetně kót (osy vedení, odstupy vedení)</w:t>
      </w:r>
    </w:p>
    <w:p w:rsidR="006B2E9E" w:rsidRPr="00F00B71" w:rsidRDefault="006B2E9E" w:rsidP="009C7E26">
      <w:pPr>
        <w:pStyle w:val="Default"/>
        <w:numPr>
          <w:ilvl w:val="2"/>
          <w:numId w:val="34"/>
        </w:numPr>
        <w:spacing w:line="276" w:lineRule="auto"/>
        <w:ind w:left="1134" w:hanging="357"/>
        <w:jc w:val="both"/>
        <w:rPr>
          <w:color w:val="auto"/>
          <w:sz w:val="23"/>
          <w:szCs w:val="23"/>
        </w:rPr>
      </w:pPr>
      <w:r w:rsidRPr="00F00B71">
        <w:rPr>
          <w:color w:val="auto"/>
          <w:sz w:val="23"/>
          <w:szCs w:val="23"/>
        </w:rPr>
        <w:t>výkresy prostupů, kladečské výkresy apod.</w:t>
      </w:r>
    </w:p>
    <w:p w:rsidR="006B2E9E" w:rsidRPr="00F00B71" w:rsidRDefault="006B2E9E" w:rsidP="009C7E26">
      <w:pPr>
        <w:pStyle w:val="Default"/>
        <w:numPr>
          <w:ilvl w:val="0"/>
          <w:numId w:val="34"/>
        </w:numPr>
        <w:spacing w:line="276" w:lineRule="auto"/>
        <w:ind w:left="567"/>
        <w:jc w:val="both"/>
        <w:rPr>
          <w:color w:val="auto"/>
          <w:sz w:val="23"/>
          <w:szCs w:val="23"/>
        </w:rPr>
      </w:pPr>
      <w:r w:rsidRPr="00F00B71">
        <w:rPr>
          <w:color w:val="auto"/>
          <w:sz w:val="23"/>
          <w:szCs w:val="23"/>
        </w:rPr>
        <w:t>Zvláštní požadavky na zpracování textové části dokumentace:</w:t>
      </w:r>
    </w:p>
    <w:p w:rsidR="006B2E9E" w:rsidRPr="00F00B71" w:rsidRDefault="006B2E9E" w:rsidP="009C7E26">
      <w:pPr>
        <w:pStyle w:val="Default"/>
        <w:numPr>
          <w:ilvl w:val="2"/>
          <w:numId w:val="34"/>
        </w:numPr>
        <w:spacing w:line="276" w:lineRule="auto"/>
        <w:ind w:left="1134"/>
        <w:jc w:val="both"/>
        <w:rPr>
          <w:color w:val="auto"/>
          <w:sz w:val="23"/>
          <w:szCs w:val="23"/>
        </w:rPr>
      </w:pPr>
      <w:r w:rsidRPr="00F00B71">
        <w:rPr>
          <w:color w:val="auto"/>
          <w:sz w:val="23"/>
          <w:szCs w:val="23"/>
        </w:rPr>
        <w:t>výpočet umělého osvětlení,</w:t>
      </w:r>
    </w:p>
    <w:p w:rsidR="006B2E9E" w:rsidRPr="00F00B71" w:rsidRDefault="006B2E9E" w:rsidP="009C7E26">
      <w:pPr>
        <w:pStyle w:val="Default"/>
        <w:numPr>
          <w:ilvl w:val="2"/>
          <w:numId w:val="34"/>
        </w:numPr>
        <w:spacing w:line="276" w:lineRule="auto"/>
        <w:ind w:left="1134"/>
        <w:jc w:val="both"/>
        <w:rPr>
          <w:color w:val="auto"/>
          <w:sz w:val="23"/>
          <w:szCs w:val="23"/>
        </w:rPr>
      </w:pPr>
      <w:r w:rsidRPr="00F00B71">
        <w:rPr>
          <w:color w:val="auto"/>
          <w:sz w:val="23"/>
          <w:szCs w:val="23"/>
        </w:rPr>
        <w:t>výpočet tepelných ztrát objektu,</w:t>
      </w:r>
    </w:p>
    <w:p w:rsidR="006B2E9E" w:rsidRPr="00F00B71" w:rsidRDefault="006B2E9E" w:rsidP="009C7E26">
      <w:pPr>
        <w:pStyle w:val="Default"/>
        <w:numPr>
          <w:ilvl w:val="2"/>
          <w:numId w:val="34"/>
        </w:numPr>
        <w:spacing w:line="276" w:lineRule="auto"/>
        <w:ind w:left="1134"/>
        <w:jc w:val="both"/>
        <w:rPr>
          <w:color w:val="auto"/>
          <w:sz w:val="23"/>
          <w:szCs w:val="23"/>
        </w:rPr>
      </w:pPr>
      <w:r w:rsidRPr="00F00B71">
        <w:rPr>
          <w:color w:val="auto"/>
          <w:sz w:val="23"/>
          <w:szCs w:val="23"/>
        </w:rPr>
        <w:t>hydraulický výpočet topné soustavy včetně předepsané regulace vyvažovacích ventilů,</w:t>
      </w:r>
    </w:p>
    <w:p w:rsidR="006B2E9E" w:rsidRPr="00F00B71" w:rsidRDefault="006B2E9E" w:rsidP="009C7E26">
      <w:pPr>
        <w:pStyle w:val="Default"/>
        <w:numPr>
          <w:ilvl w:val="2"/>
          <w:numId w:val="34"/>
        </w:numPr>
        <w:spacing w:line="276" w:lineRule="auto"/>
        <w:ind w:left="1134"/>
        <w:jc w:val="both"/>
        <w:rPr>
          <w:color w:val="auto"/>
          <w:sz w:val="23"/>
          <w:szCs w:val="23"/>
        </w:rPr>
      </w:pPr>
      <w:r w:rsidRPr="00F00B71">
        <w:rPr>
          <w:color w:val="auto"/>
          <w:sz w:val="23"/>
          <w:szCs w:val="23"/>
        </w:rPr>
        <w:t>protokol o určení vnějších vlivů,</w:t>
      </w:r>
    </w:p>
    <w:p w:rsidR="006B2E9E" w:rsidRPr="00F00B71" w:rsidRDefault="006B2E9E" w:rsidP="009C7E26">
      <w:pPr>
        <w:pStyle w:val="Default"/>
        <w:numPr>
          <w:ilvl w:val="2"/>
          <w:numId w:val="34"/>
        </w:numPr>
        <w:spacing w:line="276" w:lineRule="auto"/>
        <w:ind w:left="1134"/>
        <w:jc w:val="both"/>
        <w:rPr>
          <w:color w:val="auto"/>
          <w:sz w:val="23"/>
          <w:szCs w:val="23"/>
        </w:rPr>
      </w:pPr>
      <w:r w:rsidRPr="00F00B71">
        <w:rPr>
          <w:color w:val="auto"/>
          <w:sz w:val="23"/>
          <w:szCs w:val="23"/>
        </w:rPr>
        <w:t>PENB,</w:t>
      </w:r>
    </w:p>
    <w:p w:rsidR="006B2E9E" w:rsidRPr="00F00B71" w:rsidRDefault="0011256D" w:rsidP="009C7E26">
      <w:pPr>
        <w:pStyle w:val="Default"/>
        <w:numPr>
          <w:ilvl w:val="2"/>
          <w:numId w:val="34"/>
        </w:numPr>
        <w:spacing w:line="276" w:lineRule="auto"/>
        <w:ind w:left="1134"/>
        <w:jc w:val="both"/>
        <w:rPr>
          <w:color w:val="auto"/>
          <w:sz w:val="23"/>
          <w:szCs w:val="23"/>
        </w:rPr>
      </w:pPr>
      <w:r w:rsidRPr="00F00B71">
        <w:rPr>
          <w:color w:val="auto"/>
          <w:sz w:val="23"/>
          <w:szCs w:val="23"/>
        </w:rPr>
        <w:t>plán BOZP.</w:t>
      </w:r>
    </w:p>
    <w:p w:rsidR="006B2E9E" w:rsidRPr="00F00B71" w:rsidRDefault="00D6494E" w:rsidP="009C7E26">
      <w:pPr>
        <w:pStyle w:val="Default"/>
        <w:jc w:val="both"/>
        <w:rPr>
          <w:b/>
          <w:color w:val="auto"/>
          <w:sz w:val="23"/>
          <w:szCs w:val="23"/>
        </w:rPr>
      </w:pPr>
      <w:r>
        <w:rPr>
          <w:b/>
          <w:bCs/>
          <w:color w:val="auto"/>
          <w:sz w:val="23"/>
          <w:szCs w:val="23"/>
        </w:rPr>
        <w:br/>
      </w:r>
      <w:r w:rsidR="0011256D" w:rsidRPr="00F00B71">
        <w:rPr>
          <w:b/>
          <w:bCs/>
          <w:color w:val="auto"/>
          <w:sz w:val="23"/>
          <w:szCs w:val="23"/>
        </w:rPr>
        <w:t>4.5</w:t>
      </w:r>
      <w:r w:rsidR="00BC57C7" w:rsidRPr="00F00B71">
        <w:rPr>
          <w:b/>
          <w:bCs/>
          <w:color w:val="auto"/>
          <w:sz w:val="23"/>
          <w:szCs w:val="23"/>
        </w:rPr>
        <w:t xml:space="preserve">. </w:t>
      </w:r>
      <w:r w:rsidR="00BA7A70">
        <w:rPr>
          <w:b/>
          <w:bCs/>
          <w:color w:val="auto"/>
          <w:sz w:val="23"/>
          <w:szCs w:val="23"/>
        </w:rPr>
        <w:t>I</w:t>
      </w:r>
      <w:r w:rsidR="006B2E9E" w:rsidRPr="00F00B71">
        <w:rPr>
          <w:b/>
          <w:bCs/>
          <w:color w:val="auto"/>
          <w:sz w:val="23"/>
          <w:szCs w:val="23"/>
        </w:rPr>
        <w:t>nteriéry – součást stupně prováděcí dokumentace (DPS)</w:t>
      </w:r>
    </w:p>
    <w:p w:rsidR="006B2E9E" w:rsidRPr="00F00B71" w:rsidRDefault="006B2E9E" w:rsidP="009C7E26">
      <w:pPr>
        <w:pStyle w:val="Default"/>
        <w:jc w:val="both"/>
        <w:rPr>
          <w:bCs/>
          <w:color w:val="auto"/>
          <w:sz w:val="23"/>
          <w:szCs w:val="23"/>
        </w:rPr>
      </w:pPr>
    </w:p>
    <w:p w:rsidR="006B2E9E" w:rsidRPr="00F00B71" w:rsidRDefault="006B2E9E">
      <w:pPr>
        <w:widowControl w:val="0"/>
        <w:suppressAutoHyphens/>
        <w:spacing w:line="276" w:lineRule="auto"/>
        <w:contextualSpacing/>
        <w:jc w:val="both"/>
        <w:rPr>
          <w:rFonts w:ascii="Calibri" w:hAnsi="Calibri" w:cs="Calibri"/>
          <w:sz w:val="23"/>
          <w:szCs w:val="23"/>
        </w:rPr>
      </w:pPr>
      <w:r w:rsidRPr="00F00B71">
        <w:rPr>
          <w:rFonts w:ascii="Calibri" w:hAnsi="Calibri" w:cs="Calibri"/>
          <w:sz w:val="23"/>
          <w:szCs w:val="23"/>
        </w:rPr>
        <w:t>Výkresy a technická zpráva interiérů budou provedeny v následujícím rozsahu:</w:t>
      </w:r>
    </w:p>
    <w:p w:rsidR="006B2E9E" w:rsidRPr="00F00B71" w:rsidRDefault="006B2E9E">
      <w:pPr>
        <w:pStyle w:val="Odstavecseseznamem"/>
        <w:numPr>
          <w:ilvl w:val="0"/>
          <w:numId w:val="35"/>
        </w:numPr>
        <w:spacing w:after="0"/>
        <w:ind w:left="567"/>
        <w:jc w:val="both"/>
        <w:rPr>
          <w:rFonts w:cs="Calibri"/>
          <w:noProof/>
          <w:sz w:val="23"/>
          <w:szCs w:val="23"/>
        </w:rPr>
      </w:pPr>
      <w:r w:rsidRPr="00F00B71">
        <w:rPr>
          <w:rFonts w:cs="Calibri"/>
          <w:noProof/>
          <w:sz w:val="23"/>
          <w:szCs w:val="23"/>
        </w:rPr>
        <w:t xml:space="preserve">Návrh povrchových úprav stěn (obklady, barevné nátěry, tapety..) </w:t>
      </w:r>
    </w:p>
    <w:p w:rsidR="006B2E9E" w:rsidRPr="00F00B71" w:rsidRDefault="006B2E9E">
      <w:pPr>
        <w:pStyle w:val="Odstavecseseznamem"/>
        <w:numPr>
          <w:ilvl w:val="2"/>
          <w:numId w:val="30"/>
        </w:numPr>
        <w:spacing w:after="0"/>
        <w:ind w:left="1134"/>
        <w:jc w:val="both"/>
        <w:rPr>
          <w:rFonts w:cs="Calibri"/>
          <w:noProof/>
          <w:sz w:val="23"/>
          <w:szCs w:val="23"/>
        </w:rPr>
      </w:pPr>
      <w:r w:rsidRPr="00F00B71">
        <w:rPr>
          <w:rFonts w:cs="Calibri"/>
          <w:noProof/>
          <w:sz w:val="23"/>
          <w:szCs w:val="23"/>
        </w:rPr>
        <w:t>barevné řešení vnitřních povrchů,</w:t>
      </w:r>
    </w:p>
    <w:p w:rsidR="006B2E9E" w:rsidRPr="00F00B71" w:rsidRDefault="006B2E9E">
      <w:pPr>
        <w:pStyle w:val="Odstavecseseznamem"/>
        <w:numPr>
          <w:ilvl w:val="2"/>
          <w:numId w:val="30"/>
        </w:numPr>
        <w:spacing w:after="0"/>
        <w:ind w:left="1134"/>
        <w:jc w:val="both"/>
        <w:rPr>
          <w:rFonts w:cs="Calibri"/>
          <w:noProof/>
          <w:sz w:val="23"/>
          <w:szCs w:val="23"/>
        </w:rPr>
      </w:pPr>
      <w:r w:rsidRPr="00F00B71">
        <w:rPr>
          <w:rFonts w:cs="Calibri"/>
          <w:noProof/>
          <w:sz w:val="23"/>
          <w:szCs w:val="23"/>
        </w:rPr>
        <w:t xml:space="preserve">u obkladů kladečské plány/spárořezy, specifikace rohových a ukončovacích lišt, specifikace přechodových profilů, dilatačních lišt (pokud budou), spárořez bude navržen s ohledem na umístění zařizovacích těles, baterií, zrcadel apod., </w:t>
      </w:r>
    </w:p>
    <w:p w:rsidR="006B2E9E" w:rsidRPr="00F00B71" w:rsidRDefault="006B2E9E">
      <w:pPr>
        <w:pStyle w:val="Odstavecseseznamem"/>
        <w:numPr>
          <w:ilvl w:val="0"/>
          <w:numId w:val="30"/>
        </w:numPr>
        <w:spacing w:after="0"/>
        <w:ind w:left="567"/>
        <w:jc w:val="both"/>
        <w:rPr>
          <w:rFonts w:cs="Calibri"/>
          <w:noProof/>
          <w:sz w:val="23"/>
          <w:szCs w:val="23"/>
        </w:rPr>
      </w:pPr>
      <w:r w:rsidRPr="00F00B71">
        <w:rPr>
          <w:rFonts w:cs="Calibri"/>
          <w:noProof/>
          <w:sz w:val="23"/>
          <w:szCs w:val="23"/>
        </w:rPr>
        <w:t>Návrh řešení stropu, u kazetového podhledu kladečský plán, vč. pozic vyústek VZT, osvětlení,</w:t>
      </w:r>
    </w:p>
    <w:p w:rsidR="006B2E9E" w:rsidRPr="00F00B71" w:rsidRDefault="006B2E9E">
      <w:pPr>
        <w:pStyle w:val="Odstavecseseznamem"/>
        <w:numPr>
          <w:ilvl w:val="0"/>
          <w:numId w:val="30"/>
        </w:numPr>
        <w:spacing w:after="0"/>
        <w:ind w:left="567"/>
        <w:jc w:val="both"/>
        <w:rPr>
          <w:rFonts w:cs="Calibri"/>
          <w:noProof/>
          <w:sz w:val="23"/>
          <w:szCs w:val="23"/>
        </w:rPr>
      </w:pPr>
      <w:r w:rsidRPr="00F00B71">
        <w:rPr>
          <w:rFonts w:cs="Calibri"/>
          <w:noProof/>
          <w:sz w:val="23"/>
          <w:szCs w:val="23"/>
        </w:rPr>
        <w:t>barevné řešení podlahových krytin v rámci celkového návrhu interiéru, barevné řešení vnitřních povrchů vč. návrhu ukončovacích profilů (soklových lišt),</w:t>
      </w:r>
    </w:p>
    <w:p w:rsidR="006B2E9E" w:rsidRPr="00F00B71" w:rsidRDefault="006B2E9E">
      <w:pPr>
        <w:pStyle w:val="Odstavecseseznamem"/>
        <w:numPr>
          <w:ilvl w:val="0"/>
          <w:numId w:val="30"/>
        </w:numPr>
        <w:spacing w:after="0"/>
        <w:ind w:left="567"/>
        <w:contextualSpacing w:val="0"/>
        <w:jc w:val="both"/>
        <w:rPr>
          <w:rFonts w:cs="Calibri"/>
          <w:noProof/>
          <w:sz w:val="23"/>
          <w:szCs w:val="23"/>
        </w:rPr>
      </w:pPr>
      <w:r w:rsidRPr="00F00B71">
        <w:rPr>
          <w:rFonts w:cs="Calibri"/>
          <w:noProof/>
          <w:sz w:val="23"/>
          <w:szCs w:val="23"/>
        </w:rPr>
        <w:t>specifikace koncových prvků (zásuvky, vypínače, osvětlovací tělesa…), barevné řešení,</w:t>
      </w:r>
    </w:p>
    <w:p w:rsidR="006B2E9E" w:rsidRPr="00F00B71" w:rsidRDefault="006B2E9E">
      <w:pPr>
        <w:pStyle w:val="Odstavecseseznamem"/>
        <w:numPr>
          <w:ilvl w:val="0"/>
          <w:numId w:val="30"/>
        </w:numPr>
        <w:spacing w:after="0"/>
        <w:ind w:left="567" w:hanging="357"/>
        <w:contextualSpacing w:val="0"/>
        <w:jc w:val="both"/>
        <w:rPr>
          <w:rFonts w:cs="Calibri"/>
          <w:noProof/>
          <w:sz w:val="23"/>
          <w:szCs w:val="23"/>
        </w:rPr>
      </w:pPr>
      <w:r w:rsidRPr="00F00B71">
        <w:rPr>
          <w:rFonts w:cs="Calibri"/>
          <w:noProof/>
          <w:sz w:val="23"/>
          <w:szCs w:val="23"/>
        </w:rPr>
        <w:t>návrh mobiliáře a nábytku, mobiliář bude doplněn o výkresovou část se stanovením rozměrů, materiálové specifikace, povrchových úprav, doplňků. Jedná se o místnosti bufetu, vstupní části a kanceláře,</w:t>
      </w:r>
    </w:p>
    <w:p w:rsidR="006B2E9E" w:rsidRPr="00F00B71" w:rsidRDefault="006B2E9E">
      <w:pPr>
        <w:pStyle w:val="Odstavecseseznamem"/>
        <w:numPr>
          <w:ilvl w:val="0"/>
          <w:numId w:val="30"/>
        </w:numPr>
        <w:spacing w:after="0"/>
        <w:ind w:left="567" w:hanging="357"/>
        <w:jc w:val="both"/>
        <w:rPr>
          <w:rFonts w:cs="Calibri"/>
          <w:noProof/>
          <w:sz w:val="23"/>
          <w:szCs w:val="23"/>
        </w:rPr>
      </w:pPr>
      <w:r w:rsidRPr="00F00B71">
        <w:rPr>
          <w:rFonts w:cs="Calibri"/>
          <w:noProof/>
          <w:sz w:val="23"/>
          <w:szCs w:val="23"/>
        </w:rPr>
        <w:t>výkaz výměr jednotlivých prvků mobiliáře,</w:t>
      </w:r>
    </w:p>
    <w:p w:rsidR="006B2E9E" w:rsidRPr="00F00B71" w:rsidRDefault="006B2E9E">
      <w:pPr>
        <w:pStyle w:val="Odstavecseseznamem"/>
        <w:numPr>
          <w:ilvl w:val="0"/>
          <w:numId w:val="30"/>
        </w:numPr>
        <w:spacing w:after="0"/>
        <w:ind w:left="567" w:hanging="357"/>
        <w:jc w:val="both"/>
        <w:rPr>
          <w:rFonts w:cs="Calibri"/>
          <w:noProof/>
          <w:sz w:val="23"/>
          <w:szCs w:val="23"/>
        </w:rPr>
      </w:pPr>
      <w:r w:rsidRPr="00F00B71">
        <w:rPr>
          <w:rFonts w:cs="Calibri"/>
          <w:noProof/>
          <w:sz w:val="23"/>
          <w:szCs w:val="23"/>
        </w:rPr>
        <w:t>specifikace (popis) prvků mobiliáře - tvar a rozměry, materiál, povrchová úprava.</w:t>
      </w:r>
    </w:p>
    <w:p w:rsidR="006B2E9E" w:rsidRPr="00F00B71" w:rsidRDefault="00D6494E">
      <w:pPr>
        <w:spacing w:after="120"/>
        <w:jc w:val="both"/>
        <w:rPr>
          <w:rFonts w:ascii="Calibri" w:hAnsi="Calibri" w:cs="Calibri"/>
          <w:noProof/>
          <w:sz w:val="23"/>
          <w:szCs w:val="23"/>
        </w:rPr>
      </w:pPr>
      <w:r>
        <w:rPr>
          <w:rFonts w:ascii="Calibri" w:hAnsi="Calibri" w:cs="Calibri"/>
          <w:noProof/>
          <w:sz w:val="23"/>
          <w:szCs w:val="23"/>
        </w:rPr>
        <w:br/>
      </w:r>
      <w:r w:rsidR="006B2E9E" w:rsidRPr="00F00B71">
        <w:rPr>
          <w:rFonts w:ascii="Calibri" w:hAnsi="Calibri" w:cs="Calibri"/>
          <w:noProof/>
          <w:sz w:val="23"/>
          <w:szCs w:val="23"/>
        </w:rPr>
        <w:t xml:space="preserve">Pokud budou mít interiéry dopad na profese (např. některé kóty umístění koncových prvků), </w:t>
      </w:r>
      <w:r w:rsidR="006B2E9E" w:rsidRPr="00F00B71">
        <w:rPr>
          <w:rFonts w:ascii="Calibri" w:hAnsi="Calibri" w:cs="Calibri"/>
          <w:noProof/>
          <w:sz w:val="23"/>
          <w:szCs w:val="23"/>
        </w:rPr>
        <w:br/>
        <w:t xml:space="preserve">tak v profesích budou uvedeny odkazy na interiéry. V interiérech budou také uvedeny dopady </w:t>
      </w:r>
      <w:r w:rsidR="006B2E9E" w:rsidRPr="00F00B71">
        <w:rPr>
          <w:rFonts w:ascii="Calibri" w:hAnsi="Calibri" w:cs="Calibri"/>
          <w:noProof/>
          <w:sz w:val="23"/>
          <w:szCs w:val="23"/>
        </w:rPr>
        <w:br/>
        <w:t>na jednotlivé profese.</w:t>
      </w:r>
    </w:p>
    <w:p w:rsidR="006B2E9E" w:rsidRPr="00F00B71" w:rsidRDefault="006B2E9E">
      <w:pPr>
        <w:spacing w:after="120"/>
        <w:jc w:val="both"/>
        <w:rPr>
          <w:rFonts w:ascii="Calibri" w:hAnsi="Calibri" w:cs="Calibri"/>
          <w:noProof/>
          <w:sz w:val="23"/>
          <w:szCs w:val="23"/>
        </w:rPr>
      </w:pPr>
      <w:r w:rsidRPr="00F00B71">
        <w:rPr>
          <w:rFonts w:ascii="Calibri" w:hAnsi="Calibri" w:cs="Calibri"/>
          <w:noProof/>
          <w:sz w:val="23"/>
          <w:szCs w:val="23"/>
        </w:rPr>
        <w:t xml:space="preserve">Výšky (např. od podlah a vzdálenosti např. od otvorů, rohů) koncových prvků elektroinstalací (uvést obecně, bude-li potřeba podrobně). </w:t>
      </w:r>
    </w:p>
    <w:p w:rsidR="00D6494E" w:rsidRPr="00F00B71" w:rsidRDefault="006B2E9E">
      <w:pPr>
        <w:spacing w:after="240"/>
        <w:jc w:val="both"/>
        <w:rPr>
          <w:rFonts w:ascii="Calibri" w:hAnsi="Calibri" w:cs="Calibri"/>
          <w:noProof/>
          <w:sz w:val="23"/>
          <w:szCs w:val="23"/>
        </w:rPr>
      </w:pPr>
      <w:r w:rsidRPr="00F00B71">
        <w:rPr>
          <w:rFonts w:ascii="Calibri" w:hAnsi="Calibri" w:cs="Calibri"/>
          <w:noProof/>
          <w:sz w:val="23"/>
          <w:szCs w:val="23"/>
        </w:rPr>
        <w:t>Atypické prvky interiérů zpracovat včetně výkresů specifikujících barevné, tvarové a materiálové řešení. Zde, (například v místnosti bufetu) budou zakótovány jednotlivé místa ukončení profesí (např. elektro, voda, kanalizace apod.).</w:t>
      </w:r>
    </w:p>
    <w:p w:rsidR="006B2E9E" w:rsidRDefault="006B2E9E" w:rsidP="00D6494E">
      <w:pPr>
        <w:pStyle w:val="Default"/>
        <w:numPr>
          <w:ilvl w:val="1"/>
          <w:numId w:val="38"/>
        </w:numPr>
        <w:spacing w:after="120"/>
        <w:jc w:val="both"/>
        <w:rPr>
          <w:b/>
          <w:bCs/>
          <w:color w:val="auto"/>
          <w:sz w:val="23"/>
          <w:szCs w:val="23"/>
        </w:rPr>
      </w:pPr>
      <w:r w:rsidRPr="00F00B71">
        <w:rPr>
          <w:b/>
          <w:color w:val="auto"/>
          <w:sz w:val="23"/>
          <w:szCs w:val="23"/>
        </w:rPr>
        <w:t xml:space="preserve">Rozpočtová (nákladová) část </w:t>
      </w:r>
      <w:r w:rsidRPr="00F00B71">
        <w:rPr>
          <w:b/>
          <w:bCs/>
          <w:color w:val="auto"/>
          <w:sz w:val="23"/>
          <w:szCs w:val="23"/>
        </w:rPr>
        <w:t>– součást stupně DPS</w:t>
      </w:r>
    </w:p>
    <w:p w:rsidR="006B2E9E" w:rsidRPr="00F00B71" w:rsidRDefault="006B2E9E" w:rsidP="009C7E26">
      <w:pPr>
        <w:pStyle w:val="Default"/>
        <w:numPr>
          <w:ilvl w:val="2"/>
          <w:numId w:val="38"/>
        </w:numPr>
        <w:spacing w:after="120"/>
        <w:jc w:val="both"/>
        <w:rPr>
          <w:b/>
          <w:bCs/>
          <w:color w:val="auto"/>
          <w:sz w:val="23"/>
          <w:szCs w:val="23"/>
        </w:rPr>
      </w:pPr>
      <w:r w:rsidRPr="00F00B71">
        <w:rPr>
          <w:b/>
          <w:bCs/>
          <w:color w:val="auto"/>
          <w:sz w:val="23"/>
          <w:szCs w:val="23"/>
        </w:rPr>
        <w:t>Požadavky na obsah formu zpracování</w:t>
      </w:r>
    </w:p>
    <w:p w:rsidR="006B2E9E" w:rsidRPr="00F00B71" w:rsidRDefault="006B2E9E" w:rsidP="009C7E26">
      <w:pPr>
        <w:pStyle w:val="Default"/>
        <w:numPr>
          <w:ilvl w:val="0"/>
          <w:numId w:val="36"/>
        </w:numPr>
        <w:spacing w:line="276" w:lineRule="auto"/>
        <w:ind w:left="567" w:hanging="357"/>
        <w:jc w:val="both"/>
        <w:rPr>
          <w:color w:val="auto"/>
          <w:sz w:val="23"/>
          <w:szCs w:val="23"/>
        </w:rPr>
      </w:pPr>
      <w:r w:rsidRPr="00F00B71">
        <w:rPr>
          <w:color w:val="auto"/>
          <w:sz w:val="23"/>
          <w:szCs w:val="23"/>
        </w:rPr>
        <w:t>v soupisech prací jednotlivých rozpočtových částí samostatně uvést podrobný rozpis vedlejších rozpočtových nákladů (oplocení, sociální zařízení, provozní vlivy apod.)</w:t>
      </w:r>
    </w:p>
    <w:p w:rsidR="006B2E9E" w:rsidRPr="00F00B71" w:rsidRDefault="006B2E9E" w:rsidP="009C7E26">
      <w:pPr>
        <w:pStyle w:val="Default"/>
        <w:numPr>
          <w:ilvl w:val="0"/>
          <w:numId w:val="36"/>
        </w:numPr>
        <w:spacing w:line="276" w:lineRule="auto"/>
        <w:ind w:left="567" w:hanging="357"/>
        <w:jc w:val="both"/>
        <w:rPr>
          <w:color w:val="auto"/>
          <w:sz w:val="23"/>
          <w:szCs w:val="23"/>
        </w:rPr>
      </w:pPr>
      <w:r w:rsidRPr="00F00B71">
        <w:rPr>
          <w:color w:val="auto"/>
          <w:sz w:val="23"/>
          <w:szCs w:val="23"/>
        </w:rPr>
        <w:t>soubory rozpočtu nazvat totožně s jednotlivými částmi projektové dokumentace</w:t>
      </w:r>
    </w:p>
    <w:p w:rsidR="006B2E9E" w:rsidRPr="00F00B71" w:rsidRDefault="006B2E9E" w:rsidP="009C7E26">
      <w:pPr>
        <w:pStyle w:val="Default"/>
        <w:numPr>
          <w:ilvl w:val="0"/>
          <w:numId w:val="36"/>
        </w:numPr>
        <w:spacing w:line="276" w:lineRule="auto"/>
        <w:ind w:left="567" w:hanging="357"/>
        <w:jc w:val="both"/>
        <w:rPr>
          <w:color w:val="auto"/>
          <w:sz w:val="23"/>
          <w:szCs w:val="23"/>
        </w:rPr>
      </w:pPr>
      <w:r w:rsidRPr="00F00B71">
        <w:rPr>
          <w:color w:val="auto"/>
          <w:sz w:val="23"/>
          <w:szCs w:val="23"/>
        </w:rPr>
        <w:t>každý rozpočet stavebního objekt, nebo provozního souboru bude samostatně mít:</w:t>
      </w:r>
    </w:p>
    <w:p w:rsidR="006B2E9E" w:rsidRPr="00F00B71" w:rsidRDefault="006B2E9E" w:rsidP="009C7E26">
      <w:pPr>
        <w:pStyle w:val="Default"/>
        <w:numPr>
          <w:ilvl w:val="2"/>
          <w:numId w:val="36"/>
        </w:numPr>
        <w:spacing w:line="276" w:lineRule="auto"/>
        <w:ind w:left="993" w:hanging="357"/>
        <w:jc w:val="both"/>
        <w:rPr>
          <w:color w:val="auto"/>
          <w:sz w:val="23"/>
          <w:szCs w:val="23"/>
        </w:rPr>
      </w:pPr>
      <w:r w:rsidRPr="00F00B71">
        <w:rPr>
          <w:color w:val="auto"/>
          <w:sz w:val="23"/>
          <w:szCs w:val="23"/>
        </w:rPr>
        <w:t xml:space="preserve">krycí list s konkrétním datem (konkrétní </w:t>
      </w:r>
      <w:r w:rsidRPr="00F00B71">
        <w:rPr>
          <w:color w:val="auto"/>
          <w:sz w:val="23"/>
          <w:szCs w:val="23"/>
          <w:u w:val="single"/>
        </w:rPr>
        <w:t>den</w:t>
      </w:r>
      <w:r w:rsidRPr="00F00B71">
        <w:rPr>
          <w:color w:val="auto"/>
          <w:sz w:val="23"/>
          <w:szCs w:val="23"/>
        </w:rPr>
        <w:t xml:space="preserve"> vyhotovení rozpočtu, a to z důvodu případných změn v položkách rozpočtu z důvodu doplňkových dotazů k soutěži), </w:t>
      </w:r>
    </w:p>
    <w:p w:rsidR="006B2E9E" w:rsidRPr="00F00B71" w:rsidRDefault="006B2E9E" w:rsidP="009C7E26">
      <w:pPr>
        <w:pStyle w:val="Default"/>
        <w:numPr>
          <w:ilvl w:val="2"/>
          <w:numId w:val="36"/>
        </w:numPr>
        <w:spacing w:line="276" w:lineRule="auto"/>
        <w:ind w:left="993" w:hanging="357"/>
        <w:jc w:val="both"/>
        <w:rPr>
          <w:color w:val="auto"/>
          <w:sz w:val="23"/>
          <w:szCs w:val="23"/>
        </w:rPr>
      </w:pPr>
      <w:r w:rsidRPr="00F00B71">
        <w:rPr>
          <w:color w:val="auto"/>
          <w:sz w:val="23"/>
          <w:szCs w:val="23"/>
        </w:rPr>
        <w:t xml:space="preserve">rekapitulaci a položkovou část </w:t>
      </w:r>
    </w:p>
    <w:p w:rsidR="006B2E9E" w:rsidRPr="00F00B71" w:rsidRDefault="006B2E9E" w:rsidP="009C7E26">
      <w:pPr>
        <w:pStyle w:val="Default"/>
        <w:numPr>
          <w:ilvl w:val="0"/>
          <w:numId w:val="36"/>
        </w:numPr>
        <w:spacing w:line="276" w:lineRule="auto"/>
        <w:ind w:left="567" w:hanging="357"/>
        <w:jc w:val="both"/>
        <w:rPr>
          <w:color w:val="auto"/>
          <w:sz w:val="23"/>
          <w:szCs w:val="23"/>
        </w:rPr>
      </w:pPr>
      <w:r w:rsidRPr="00F00B71">
        <w:rPr>
          <w:color w:val="auto"/>
          <w:sz w:val="23"/>
          <w:szCs w:val="23"/>
        </w:rPr>
        <w:t>u rozpočtů uvést cenovou soustavu</w:t>
      </w:r>
    </w:p>
    <w:p w:rsidR="006B2E9E" w:rsidRPr="00F00B71" w:rsidRDefault="006B2E9E" w:rsidP="009C7E26">
      <w:pPr>
        <w:pStyle w:val="Odstavecseseznamem"/>
        <w:numPr>
          <w:ilvl w:val="0"/>
          <w:numId w:val="36"/>
        </w:numPr>
        <w:spacing w:after="0"/>
        <w:ind w:left="567" w:hanging="357"/>
        <w:contextualSpacing w:val="0"/>
        <w:jc w:val="both"/>
        <w:rPr>
          <w:rFonts w:cs="Calibri"/>
          <w:sz w:val="23"/>
          <w:szCs w:val="23"/>
        </w:rPr>
      </w:pPr>
      <w:r w:rsidRPr="00F00B71">
        <w:rPr>
          <w:rFonts w:cs="Calibri"/>
          <w:sz w:val="23"/>
          <w:szCs w:val="23"/>
        </w:rPr>
        <w:t>položky typu „soubor“, „kpl“ apod. budou minimalizovány, položky rozdělit na dopravu, dodávku, montáž, nátěry, dokumentaci apod.</w:t>
      </w:r>
    </w:p>
    <w:p w:rsidR="006B2E9E" w:rsidRPr="00F00B71" w:rsidRDefault="006B2E9E" w:rsidP="009C7E26">
      <w:pPr>
        <w:pStyle w:val="Odstavecseseznamem"/>
        <w:numPr>
          <w:ilvl w:val="0"/>
          <w:numId w:val="36"/>
        </w:numPr>
        <w:spacing w:after="0"/>
        <w:ind w:left="567" w:hanging="357"/>
        <w:contextualSpacing w:val="0"/>
        <w:jc w:val="both"/>
        <w:rPr>
          <w:rFonts w:cs="Calibri"/>
          <w:sz w:val="23"/>
          <w:szCs w:val="23"/>
        </w:rPr>
      </w:pPr>
      <w:r w:rsidRPr="00F00B71">
        <w:rPr>
          <w:rFonts w:cs="Calibri"/>
          <w:sz w:val="23"/>
          <w:szCs w:val="23"/>
        </w:rPr>
        <w:t>ve slepých rozpočtech by neměla být uvedena jako zpracovatel rozpočtu jiná právnická osoba než projektant.</w:t>
      </w:r>
    </w:p>
    <w:p w:rsidR="006B2E9E" w:rsidRPr="00F00B71" w:rsidRDefault="006B2E9E" w:rsidP="009C7E26">
      <w:pPr>
        <w:pStyle w:val="Default"/>
        <w:numPr>
          <w:ilvl w:val="0"/>
          <w:numId w:val="36"/>
        </w:numPr>
        <w:spacing w:line="276" w:lineRule="auto"/>
        <w:ind w:left="567" w:hanging="357"/>
        <w:jc w:val="both"/>
        <w:rPr>
          <w:color w:val="auto"/>
          <w:sz w:val="23"/>
          <w:szCs w:val="23"/>
        </w:rPr>
      </w:pPr>
      <w:r w:rsidRPr="00F00B71">
        <w:rPr>
          <w:color w:val="auto"/>
          <w:sz w:val="23"/>
          <w:szCs w:val="23"/>
        </w:rPr>
        <w:t>v rozpočtech mít dle potřeby v jednotlivých objektech a stavebních, či montážních souborech položky pro zpracování dílenské dokumentace</w:t>
      </w:r>
    </w:p>
    <w:p w:rsidR="006B2E9E" w:rsidRPr="00F00B71" w:rsidRDefault="00261425" w:rsidP="009C7E26">
      <w:pPr>
        <w:pStyle w:val="Default"/>
        <w:numPr>
          <w:ilvl w:val="0"/>
          <w:numId w:val="36"/>
        </w:numPr>
        <w:spacing w:line="276" w:lineRule="auto"/>
        <w:ind w:left="567" w:hanging="357"/>
        <w:jc w:val="both"/>
        <w:rPr>
          <w:color w:val="auto"/>
          <w:sz w:val="23"/>
          <w:szCs w:val="23"/>
        </w:rPr>
      </w:pPr>
      <w:r w:rsidRPr="00F00B71">
        <w:rPr>
          <w:color w:val="auto"/>
          <w:sz w:val="23"/>
          <w:szCs w:val="23"/>
        </w:rPr>
        <w:t xml:space="preserve">veškeré </w:t>
      </w:r>
      <w:r w:rsidR="006B2E9E" w:rsidRPr="00F00B71">
        <w:rPr>
          <w:color w:val="auto"/>
          <w:sz w:val="23"/>
          <w:szCs w:val="23"/>
        </w:rPr>
        <w:t xml:space="preserve">rozpočty </w:t>
      </w:r>
      <w:r w:rsidRPr="00F00B71">
        <w:rPr>
          <w:color w:val="auto"/>
          <w:sz w:val="23"/>
          <w:szCs w:val="23"/>
        </w:rPr>
        <w:t xml:space="preserve">budou zpracovány </w:t>
      </w:r>
      <w:r w:rsidR="0011256D" w:rsidRPr="00F00B71">
        <w:rPr>
          <w:color w:val="auto"/>
          <w:sz w:val="23"/>
          <w:szCs w:val="23"/>
        </w:rPr>
        <w:t>v členění ÚRS</w:t>
      </w:r>
    </w:p>
    <w:p w:rsidR="006B2E9E" w:rsidRPr="00F00B71" w:rsidRDefault="006B2E9E" w:rsidP="009E099A">
      <w:pPr>
        <w:pStyle w:val="Default"/>
        <w:spacing w:after="22"/>
        <w:rPr>
          <w:rFonts w:asciiTheme="minorHAnsi" w:hAnsiTheme="minorHAnsi" w:cstheme="minorHAnsi"/>
          <w:b/>
          <w:color w:val="auto"/>
          <w:sz w:val="23"/>
          <w:szCs w:val="23"/>
          <w:u w:val="single"/>
        </w:rPr>
      </w:pPr>
    </w:p>
    <w:p w:rsidR="00BC57C7" w:rsidRPr="00F00B71" w:rsidRDefault="009E099A" w:rsidP="0011256D">
      <w:pPr>
        <w:pStyle w:val="Default"/>
        <w:numPr>
          <w:ilvl w:val="1"/>
          <w:numId w:val="38"/>
        </w:numPr>
        <w:spacing w:after="22"/>
        <w:rPr>
          <w:rFonts w:asciiTheme="minorHAnsi" w:hAnsiTheme="minorHAnsi" w:cstheme="minorHAnsi"/>
          <w:b/>
          <w:color w:val="auto"/>
          <w:sz w:val="23"/>
          <w:szCs w:val="23"/>
        </w:rPr>
      </w:pPr>
      <w:r w:rsidRPr="00F00B71">
        <w:rPr>
          <w:rFonts w:asciiTheme="minorHAnsi" w:hAnsiTheme="minorHAnsi" w:cstheme="minorHAnsi"/>
          <w:b/>
          <w:color w:val="auto"/>
          <w:sz w:val="23"/>
          <w:szCs w:val="23"/>
        </w:rPr>
        <w:t>Dokladová část</w:t>
      </w:r>
      <w:r w:rsidR="00BB3B4C" w:rsidRPr="00F00B71">
        <w:rPr>
          <w:rFonts w:asciiTheme="minorHAnsi" w:hAnsiTheme="minorHAnsi" w:cstheme="minorHAnsi"/>
          <w:b/>
          <w:color w:val="auto"/>
          <w:sz w:val="23"/>
          <w:szCs w:val="23"/>
        </w:rPr>
        <w:t xml:space="preserve"> </w:t>
      </w:r>
    </w:p>
    <w:p w:rsidR="00BC57C7" w:rsidRPr="00F00B71" w:rsidRDefault="00BC57C7" w:rsidP="009E099A">
      <w:pPr>
        <w:pStyle w:val="Default"/>
        <w:spacing w:after="22"/>
        <w:rPr>
          <w:rFonts w:asciiTheme="minorHAnsi" w:hAnsiTheme="minorHAnsi" w:cstheme="minorHAnsi"/>
          <w:b/>
          <w:color w:val="auto"/>
          <w:sz w:val="23"/>
          <w:szCs w:val="23"/>
          <w:u w:val="single"/>
        </w:rPr>
      </w:pPr>
    </w:p>
    <w:p w:rsidR="009E099A" w:rsidRPr="00F00B71" w:rsidRDefault="00BC57C7" w:rsidP="009E099A">
      <w:pPr>
        <w:pStyle w:val="Default"/>
        <w:spacing w:after="22"/>
        <w:rPr>
          <w:rFonts w:asciiTheme="minorHAnsi" w:hAnsiTheme="minorHAnsi" w:cstheme="minorHAnsi"/>
          <w:color w:val="auto"/>
          <w:sz w:val="23"/>
          <w:szCs w:val="23"/>
        </w:rPr>
      </w:pPr>
      <w:r w:rsidRPr="00F00B71">
        <w:rPr>
          <w:rFonts w:asciiTheme="minorHAnsi" w:hAnsiTheme="minorHAnsi" w:cstheme="minorHAnsi"/>
          <w:b/>
          <w:color w:val="auto"/>
          <w:sz w:val="23"/>
          <w:szCs w:val="23"/>
        </w:rPr>
        <w:t>4.</w:t>
      </w:r>
      <w:r w:rsidR="0011256D" w:rsidRPr="00F00B71">
        <w:rPr>
          <w:rFonts w:asciiTheme="minorHAnsi" w:hAnsiTheme="minorHAnsi" w:cstheme="minorHAnsi"/>
          <w:b/>
          <w:color w:val="auto"/>
          <w:sz w:val="23"/>
          <w:szCs w:val="23"/>
        </w:rPr>
        <w:t>7</w:t>
      </w:r>
      <w:r w:rsidRPr="00F00B71">
        <w:rPr>
          <w:rFonts w:asciiTheme="minorHAnsi" w:hAnsiTheme="minorHAnsi" w:cstheme="minorHAnsi"/>
          <w:b/>
          <w:color w:val="auto"/>
          <w:sz w:val="23"/>
          <w:szCs w:val="23"/>
        </w:rPr>
        <w:t xml:space="preserve">.1. </w:t>
      </w:r>
      <w:r w:rsidR="00BB3B4C" w:rsidRPr="00F00B71">
        <w:rPr>
          <w:rFonts w:asciiTheme="minorHAnsi" w:hAnsiTheme="minorHAnsi" w:cstheme="minorHAnsi"/>
          <w:b/>
          <w:color w:val="auto"/>
          <w:sz w:val="23"/>
          <w:szCs w:val="23"/>
        </w:rPr>
        <w:t>STUDIE</w:t>
      </w:r>
      <w:r w:rsidR="009E099A" w:rsidRPr="00F00B71">
        <w:rPr>
          <w:rFonts w:asciiTheme="minorHAnsi" w:hAnsiTheme="minorHAnsi" w:cstheme="minorHAnsi"/>
          <w:b/>
          <w:color w:val="auto"/>
          <w:sz w:val="23"/>
          <w:szCs w:val="23"/>
        </w:rPr>
        <w:t>:</w:t>
      </w:r>
      <w:r w:rsidR="009E099A" w:rsidRPr="00F00B71">
        <w:rPr>
          <w:rFonts w:asciiTheme="minorHAnsi" w:hAnsiTheme="minorHAnsi" w:cstheme="minorHAnsi"/>
          <w:b/>
          <w:color w:val="auto"/>
          <w:sz w:val="23"/>
          <w:szCs w:val="23"/>
        </w:rPr>
        <w:br/>
      </w:r>
      <w:r w:rsidR="00E67AF4" w:rsidRPr="00F00B71">
        <w:rPr>
          <w:rFonts w:asciiTheme="minorHAnsi" w:hAnsiTheme="minorHAnsi" w:cstheme="minorHAnsi"/>
          <w:color w:val="auto"/>
          <w:sz w:val="23"/>
          <w:szCs w:val="23"/>
        </w:rPr>
        <w:t xml:space="preserve">- </w:t>
      </w:r>
      <w:r w:rsidR="009E099A" w:rsidRPr="00F00B71">
        <w:rPr>
          <w:rFonts w:asciiTheme="minorHAnsi" w:hAnsiTheme="minorHAnsi" w:cstheme="minorHAnsi"/>
          <w:color w:val="auto"/>
          <w:sz w:val="23"/>
          <w:szCs w:val="23"/>
        </w:rPr>
        <w:t xml:space="preserve">Projednání s NPÚ Ostrava (zejména z hlediska propojení ND s MOBA) - stanovisko ke studii bude </w:t>
      </w:r>
      <w:r w:rsidR="00E67AF4" w:rsidRPr="00F00B71">
        <w:rPr>
          <w:rFonts w:asciiTheme="minorHAnsi" w:hAnsiTheme="minorHAnsi" w:cstheme="minorHAnsi"/>
          <w:color w:val="auto"/>
          <w:sz w:val="23"/>
          <w:szCs w:val="23"/>
        </w:rPr>
        <w:br/>
        <w:t xml:space="preserve">  </w:t>
      </w:r>
      <w:r w:rsidR="009E099A" w:rsidRPr="00F00B71">
        <w:rPr>
          <w:rFonts w:asciiTheme="minorHAnsi" w:hAnsiTheme="minorHAnsi" w:cstheme="minorHAnsi"/>
          <w:color w:val="auto"/>
          <w:sz w:val="23"/>
          <w:szCs w:val="23"/>
        </w:rPr>
        <w:t>jen konzultační – jako podklad k dalšímu jednání.</w:t>
      </w:r>
      <w:r w:rsidR="009E099A" w:rsidRPr="00F00B71">
        <w:rPr>
          <w:rFonts w:asciiTheme="minorHAnsi" w:hAnsiTheme="minorHAnsi" w:cstheme="minorHAnsi"/>
          <w:color w:val="auto"/>
          <w:sz w:val="23"/>
          <w:szCs w:val="23"/>
        </w:rPr>
        <w:br/>
      </w:r>
      <w:r w:rsidR="00E67AF4" w:rsidRPr="00F00B71">
        <w:rPr>
          <w:rFonts w:asciiTheme="minorHAnsi" w:hAnsiTheme="minorHAnsi" w:cstheme="minorHAnsi"/>
          <w:color w:val="auto"/>
          <w:sz w:val="23"/>
          <w:szCs w:val="23"/>
        </w:rPr>
        <w:t xml:space="preserve">- </w:t>
      </w:r>
      <w:r w:rsidR="009E099A" w:rsidRPr="00F00B71">
        <w:rPr>
          <w:rFonts w:asciiTheme="minorHAnsi" w:hAnsiTheme="minorHAnsi" w:cstheme="minorHAnsi"/>
          <w:color w:val="auto"/>
          <w:sz w:val="23"/>
          <w:szCs w:val="23"/>
        </w:rPr>
        <w:t>Projednání s HZS MSK - stanovisko ke studii bude jen konzultační - jako podklad k dalšímu jednání.</w:t>
      </w:r>
    </w:p>
    <w:p w:rsidR="00F47F7D" w:rsidRPr="00F00B71" w:rsidRDefault="00E67AF4" w:rsidP="009E099A">
      <w:pPr>
        <w:pStyle w:val="Default"/>
        <w:spacing w:after="22"/>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 </w:t>
      </w:r>
      <w:r w:rsidR="009E099A" w:rsidRPr="00F00B71">
        <w:rPr>
          <w:rFonts w:asciiTheme="minorHAnsi" w:hAnsiTheme="minorHAnsi" w:cstheme="minorHAnsi"/>
          <w:color w:val="auto"/>
          <w:sz w:val="23"/>
          <w:szCs w:val="23"/>
        </w:rPr>
        <w:t>Projednání s ODaSH -  jako podklad k dalšímu jednání.</w:t>
      </w:r>
      <w:r w:rsidRPr="00F00B71">
        <w:rPr>
          <w:rFonts w:asciiTheme="minorHAnsi" w:hAnsiTheme="minorHAnsi" w:cstheme="minorHAnsi"/>
          <w:color w:val="auto"/>
          <w:sz w:val="23"/>
          <w:szCs w:val="23"/>
        </w:rPr>
        <w:br/>
        <w:t>- Projednání s OÚRaSŘ – jako podklad k dalšímu jednání</w:t>
      </w:r>
    </w:p>
    <w:p w:rsidR="00F47F7D" w:rsidRPr="00F00B71" w:rsidRDefault="00F47F7D" w:rsidP="009E099A">
      <w:pPr>
        <w:pStyle w:val="Default"/>
        <w:spacing w:after="22"/>
        <w:rPr>
          <w:rFonts w:asciiTheme="minorHAnsi" w:hAnsiTheme="minorHAnsi" w:cstheme="minorHAnsi"/>
          <w:color w:val="auto"/>
          <w:sz w:val="23"/>
          <w:szCs w:val="23"/>
        </w:rPr>
      </w:pPr>
      <w:r w:rsidRPr="00F00B71">
        <w:rPr>
          <w:rFonts w:asciiTheme="minorHAnsi" w:hAnsiTheme="minorHAnsi" w:cstheme="minorHAnsi"/>
          <w:color w:val="auto"/>
          <w:sz w:val="23"/>
          <w:szCs w:val="23"/>
        </w:rPr>
        <w:t>- P</w:t>
      </w:r>
      <w:r w:rsidR="000A0BD4" w:rsidRPr="00F00B71">
        <w:rPr>
          <w:rFonts w:asciiTheme="minorHAnsi" w:hAnsiTheme="minorHAnsi" w:cstheme="minorHAnsi"/>
          <w:color w:val="auto"/>
          <w:sz w:val="23"/>
          <w:szCs w:val="23"/>
        </w:rPr>
        <w:t>rojednání s</w:t>
      </w:r>
      <w:r w:rsidRPr="00F00B71">
        <w:rPr>
          <w:rFonts w:asciiTheme="minorHAnsi" w:hAnsiTheme="minorHAnsi" w:cstheme="minorHAnsi"/>
          <w:color w:val="auto"/>
          <w:sz w:val="23"/>
          <w:szCs w:val="23"/>
        </w:rPr>
        <w:t> </w:t>
      </w:r>
      <w:r w:rsidR="000A0BD4" w:rsidRPr="00F00B71">
        <w:rPr>
          <w:rFonts w:asciiTheme="minorHAnsi" w:hAnsiTheme="minorHAnsi" w:cstheme="minorHAnsi"/>
          <w:color w:val="auto"/>
          <w:sz w:val="23"/>
          <w:szCs w:val="23"/>
        </w:rPr>
        <w:t>ŘSD</w:t>
      </w:r>
      <w:r w:rsidRPr="00F00B71">
        <w:rPr>
          <w:rFonts w:asciiTheme="minorHAnsi" w:hAnsiTheme="minorHAnsi" w:cstheme="minorHAnsi"/>
          <w:color w:val="auto"/>
          <w:sz w:val="23"/>
          <w:szCs w:val="23"/>
        </w:rPr>
        <w:t>, odborem dopravy KÚ, PČR</w:t>
      </w:r>
      <w:r w:rsidR="000A0BD4" w:rsidRPr="00F00B71">
        <w:rPr>
          <w:rFonts w:asciiTheme="minorHAnsi" w:hAnsiTheme="minorHAnsi" w:cstheme="minorHAnsi"/>
          <w:color w:val="auto"/>
          <w:sz w:val="23"/>
          <w:szCs w:val="23"/>
        </w:rPr>
        <w:t xml:space="preserve"> s ohledem na „zrušení“ průtahu městem po </w:t>
      </w:r>
    </w:p>
    <w:p w:rsidR="000A0BD4" w:rsidRPr="00F00B71" w:rsidRDefault="00F47F7D" w:rsidP="009E099A">
      <w:pPr>
        <w:pStyle w:val="Default"/>
        <w:spacing w:after="22"/>
        <w:rPr>
          <w:rFonts w:asciiTheme="minorHAnsi" w:hAnsiTheme="minorHAnsi" w:cstheme="minorHAnsi"/>
          <w:color w:val="auto"/>
          <w:sz w:val="23"/>
          <w:szCs w:val="23"/>
        </w:rPr>
      </w:pPr>
      <w:r w:rsidRPr="00F00B71">
        <w:rPr>
          <w:rFonts w:asciiTheme="minorHAnsi" w:hAnsiTheme="minorHAnsi" w:cstheme="minorHAnsi"/>
          <w:color w:val="auto"/>
          <w:sz w:val="23"/>
          <w:szCs w:val="23"/>
        </w:rPr>
        <w:t xml:space="preserve">  </w:t>
      </w:r>
      <w:r w:rsidR="000A0BD4" w:rsidRPr="00F00B71">
        <w:rPr>
          <w:rFonts w:asciiTheme="minorHAnsi" w:hAnsiTheme="minorHAnsi" w:cstheme="minorHAnsi"/>
          <w:color w:val="auto"/>
          <w:sz w:val="23"/>
          <w:szCs w:val="23"/>
        </w:rPr>
        <w:t>dokončení obchvatu města v roce 2022</w:t>
      </w:r>
      <w:r w:rsidRPr="00F00B71">
        <w:rPr>
          <w:rFonts w:asciiTheme="minorHAnsi" w:hAnsiTheme="minorHAnsi" w:cstheme="minorHAnsi"/>
          <w:color w:val="auto"/>
          <w:sz w:val="23"/>
          <w:szCs w:val="23"/>
        </w:rPr>
        <w:t xml:space="preserve"> v návaznosti na záso</w:t>
      </w:r>
      <w:r w:rsidR="00D67BE9" w:rsidRPr="00F00B71">
        <w:rPr>
          <w:rFonts w:asciiTheme="minorHAnsi" w:hAnsiTheme="minorHAnsi" w:cstheme="minorHAnsi"/>
          <w:color w:val="auto"/>
          <w:sz w:val="23"/>
          <w:szCs w:val="23"/>
        </w:rPr>
        <w:t>bování kuchyně ND</w:t>
      </w:r>
    </w:p>
    <w:p w:rsidR="000A0BD4" w:rsidRPr="00F00B71" w:rsidRDefault="00E67AF4" w:rsidP="009E099A">
      <w:pPr>
        <w:rPr>
          <w:rFonts w:cstheme="minorHAnsi"/>
          <w:sz w:val="23"/>
          <w:szCs w:val="23"/>
        </w:rPr>
      </w:pPr>
      <w:r w:rsidRPr="00F00B71">
        <w:rPr>
          <w:rFonts w:cstheme="minorHAnsi"/>
          <w:sz w:val="23"/>
          <w:szCs w:val="23"/>
        </w:rPr>
        <w:t xml:space="preserve">- </w:t>
      </w:r>
      <w:r w:rsidR="009E099A" w:rsidRPr="00F00B71">
        <w:rPr>
          <w:rFonts w:cstheme="minorHAnsi"/>
          <w:sz w:val="23"/>
          <w:szCs w:val="23"/>
        </w:rPr>
        <w:t>Stanoviska vlastníků sítí k jeji</w:t>
      </w:r>
      <w:r w:rsidR="000A0BD4" w:rsidRPr="00F00B71">
        <w:rPr>
          <w:rFonts w:cstheme="minorHAnsi"/>
          <w:sz w:val="23"/>
          <w:szCs w:val="23"/>
        </w:rPr>
        <w:t>ch existenci v dotčené lokalitě.</w:t>
      </w:r>
    </w:p>
    <w:p w:rsidR="00BB3B4C" w:rsidRPr="00F00B71" w:rsidRDefault="00BB3B4C" w:rsidP="009E099A">
      <w:pPr>
        <w:rPr>
          <w:rFonts w:cstheme="minorHAnsi"/>
          <w:sz w:val="23"/>
          <w:szCs w:val="23"/>
        </w:rPr>
      </w:pPr>
    </w:p>
    <w:p w:rsidR="001E17F2" w:rsidRPr="00F00B71" w:rsidRDefault="0011256D" w:rsidP="009E099A">
      <w:pPr>
        <w:rPr>
          <w:rFonts w:cstheme="minorHAnsi"/>
          <w:sz w:val="23"/>
          <w:szCs w:val="23"/>
        </w:rPr>
      </w:pPr>
      <w:r w:rsidRPr="00F00B71">
        <w:rPr>
          <w:rFonts w:cstheme="minorHAnsi"/>
          <w:b/>
          <w:sz w:val="23"/>
          <w:szCs w:val="23"/>
        </w:rPr>
        <w:t>4.7</w:t>
      </w:r>
      <w:r w:rsidR="00BC57C7" w:rsidRPr="00F00B71">
        <w:rPr>
          <w:rFonts w:cstheme="minorHAnsi"/>
          <w:b/>
          <w:sz w:val="23"/>
          <w:szCs w:val="23"/>
        </w:rPr>
        <w:t xml:space="preserve">.2. </w:t>
      </w:r>
      <w:r w:rsidR="00BB3B4C" w:rsidRPr="00F00B71">
        <w:rPr>
          <w:rFonts w:cstheme="minorHAnsi"/>
          <w:b/>
          <w:sz w:val="23"/>
          <w:szCs w:val="23"/>
        </w:rPr>
        <w:t>Dokladová část DUR, DSP</w:t>
      </w:r>
      <w:r w:rsidRPr="00F00B71">
        <w:rPr>
          <w:rFonts w:cstheme="minorHAnsi"/>
          <w:b/>
          <w:sz w:val="23"/>
          <w:szCs w:val="23"/>
        </w:rPr>
        <w:t>, DPS</w:t>
      </w:r>
      <w:r w:rsidR="00BB3B4C" w:rsidRPr="00F00B71">
        <w:rPr>
          <w:rFonts w:cstheme="minorHAnsi"/>
          <w:b/>
          <w:sz w:val="23"/>
          <w:szCs w:val="23"/>
        </w:rPr>
        <w:t>:</w:t>
      </w:r>
      <w:r w:rsidR="00BB3B4C" w:rsidRPr="00F00B71">
        <w:rPr>
          <w:rFonts w:cstheme="minorHAnsi"/>
          <w:b/>
          <w:sz w:val="23"/>
          <w:szCs w:val="23"/>
        </w:rPr>
        <w:br/>
      </w:r>
      <w:r w:rsidR="00BB3B4C" w:rsidRPr="00F00B71">
        <w:rPr>
          <w:rFonts w:cstheme="minorHAnsi"/>
          <w:sz w:val="23"/>
          <w:szCs w:val="23"/>
        </w:rPr>
        <w:t>- dle legislativy</w:t>
      </w:r>
      <w:r w:rsidR="009E099A" w:rsidRPr="00F00B71">
        <w:rPr>
          <w:rFonts w:cstheme="minorHAnsi"/>
          <w:sz w:val="23"/>
          <w:szCs w:val="23"/>
        </w:rPr>
        <w:br/>
      </w:r>
    </w:p>
    <w:p w:rsidR="00BC57C7" w:rsidRPr="00F00B71" w:rsidRDefault="00BC57C7" w:rsidP="009E099A">
      <w:pPr>
        <w:rPr>
          <w:rFonts w:cstheme="minorHAnsi"/>
          <w:sz w:val="23"/>
          <w:szCs w:val="23"/>
        </w:rPr>
      </w:pPr>
    </w:p>
    <w:p w:rsidR="00BC57C7" w:rsidRPr="00F00B71" w:rsidRDefault="00BC57C7" w:rsidP="009E099A">
      <w:pPr>
        <w:rPr>
          <w:rFonts w:cstheme="minorHAnsi"/>
          <w:sz w:val="23"/>
          <w:szCs w:val="23"/>
        </w:rPr>
      </w:pPr>
    </w:p>
    <w:p w:rsidR="00BC57C7" w:rsidRPr="00F00B71" w:rsidRDefault="00BC57C7" w:rsidP="009E099A">
      <w:pPr>
        <w:rPr>
          <w:rFonts w:cstheme="minorHAnsi"/>
          <w:sz w:val="23"/>
          <w:szCs w:val="23"/>
        </w:rPr>
      </w:pPr>
    </w:p>
    <w:p w:rsidR="009A452D" w:rsidRPr="00F00B71" w:rsidRDefault="00857661" w:rsidP="00857661">
      <w:pPr>
        <w:rPr>
          <w:rFonts w:cstheme="minorHAnsi"/>
        </w:rPr>
      </w:pPr>
      <w:r w:rsidRPr="00F00B71">
        <w:rPr>
          <w:rFonts w:cstheme="minorHAnsi"/>
          <w:b/>
          <w:u w:val="single"/>
        </w:rPr>
        <w:t>Přílohy:</w:t>
      </w:r>
      <w:r w:rsidRPr="00F00B71">
        <w:rPr>
          <w:rFonts w:cstheme="minorHAnsi"/>
          <w:b/>
          <w:u w:val="single"/>
        </w:rPr>
        <w:br/>
      </w:r>
      <w:r w:rsidRPr="00F00B71">
        <w:rPr>
          <w:rFonts w:cstheme="minorHAnsi"/>
        </w:rPr>
        <w:t>Příloha č. 1</w:t>
      </w:r>
      <w:r w:rsidR="001E17F2" w:rsidRPr="00F00B71">
        <w:rPr>
          <w:rFonts w:cstheme="minorHAnsi"/>
        </w:rPr>
        <w:tab/>
        <w:t>Zaměření skutečného stavu objektu ND (.dwg)</w:t>
      </w:r>
      <w:r w:rsidR="000B1A0D" w:rsidRPr="00F00B71">
        <w:rPr>
          <w:rFonts w:cstheme="minorHAnsi"/>
        </w:rPr>
        <w:br/>
      </w:r>
      <w:r w:rsidRPr="00F00B71">
        <w:rPr>
          <w:rFonts w:cstheme="minorHAnsi"/>
        </w:rPr>
        <w:t>Příloha č. 2</w:t>
      </w:r>
      <w:r w:rsidR="000B1A0D" w:rsidRPr="00F00B71">
        <w:rPr>
          <w:rFonts w:cstheme="minorHAnsi"/>
        </w:rPr>
        <w:tab/>
        <w:t>Stavebně technický průzkum objektu ND (.pdf)</w:t>
      </w:r>
      <w:r w:rsidR="001E17F2" w:rsidRPr="00F00B71">
        <w:rPr>
          <w:rFonts w:cstheme="minorHAnsi"/>
        </w:rPr>
        <w:br/>
      </w:r>
      <w:r w:rsidRPr="00F00B71">
        <w:rPr>
          <w:rFonts w:cstheme="minorHAnsi"/>
        </w:rPr>
        <w:t>Příloha č. 3</w:t>
      </w:r>
      <w:r w:rsidRPr="00F00B71">
        <w:rPr>
          <w:rFonts w:cstheme="minorHAnsi"/>
        </w:rPr>
        <w:tab/>
        <w:t>Zaměření skutečného stavu objektu MOBA (.dwg)</w:t>
      </w:r>
      <w:r w:rsidRPr="00F00B71">
        <w:rPr>
          <w:rFonts w:cstheme="minorHAnsi"/>
        </w:rPr>
        <w:br/>
        <w:t>Příloha č. 4</w:t>
      </w:r>
      <w:r w:rsidRPr="00F00B71">
        <w:rPr>
          <w:rFonts w:cstheme="minorHAnsi"/>
        </w:rPr>
        <w:tab/>
        <w:t>Stavebně technický průzkum objektu MOBA (.pdf)</w:t>
      </w:r>
      <w:r w:rsidR="00395989" w:rsidRPr="00F00B71">
        <w:rPr>
          <w:rFonts w:cstheme="minorHAnsi"/>
        </w:rPr>
        <w:br/>
        <w:t>Příloha č. 5</w:t>
      </w:r>
      <w:r w:rsidR="00395989" w:rsidRPr="00F00B71">
        <w:rPr>
          <w:rFonts w:cstheme="minorHAnsi"/>
        </w:rPr>
        <w:tab/>
        <w:t>Jednotlivé podlaží MOBA - záměr pro využití prostor – skeny jednotlivých podlaží (.pdf)</w:t>
      </w:r>
      <w:r w:rsidR="00395989" w:rsidRPr="00F00B71">
        <w:rPr>
          <w:rFonts w:cstheme="minorHAnsi"/>
        </w:rPr>
        <w:br/>
      </w:r>
      <w:r w:rsidR="001E17F2" w:rsidRPr="00F00B71">
        <w:rPr>
          <w:rFonts w:cstheme="minorHAnsi"/>
        </w:rPr>
        <w:t xml:space="preserve">Příloha č. </w:t>
      </w:r>
      <w:r w:rsidR="00395989" w:rsidRPr="00F00B71">
        <w:rPr>
          <w:rFonts w:cstheme="minorHAnsi"/>
        </w:rPr>
        <w:t>6</w:t>
      </w:r>
      <w:r w:rsidR="001E17F2" w:rsidRPr="00F00B71">
        <w:rPr>
          <w:rFonts w:cstheme="minorHAnsi"/>
        </w:rPr>
        <w:tab/>
        <w:t>Situace přístavby sálu k ND (.pdf)</w:t>
      </w:r>
      <w:r w:rsidR="001E17F2" w:rsidRPr="00F00B71">
        <w:rPr>
          <w:rFonts w:cstheme="minorHAnsi"/>
        </w:rPr>
        <w:br/>
        <w:t xml:space="preserve">Příloha č. </w:t>
      </w:r>
      <w:r w:rsidR="00395989" w:rsidRPr="00F00B71">
        <w:rPr>
          <w:rFonts w:cstheme="minorHAnsi"/>
        </w:rPr>
        <w:t>7</w:t>
      </w:r>
      <w:r w:rsidR="001E17F2" w:rsidRPr="00F00B71">
        <w:rPr>
          <w:rFonts w:cstheme="minorHAnsi"/>
        </w:rPr>
        <w:tab/>
        <w:t>Polohopis a výškopis ZEKAN (.dwg)</w:t>
      </w:r>
      <w:r w:rsidR="001E17F2" w:rsidRPr="00F00B71">
        <w:rPr>
          <w:rFonts w:cstheme="minorHAnsi"/>
        </w:rPr>
        <w:br/>
      </w:r>
    </w:p>
    <w:p w:rsidR="00261425" w:rsidRPr="00F00B71" w:rsidRDefault="00261425" w:rsidP="00857661">
      <w:pPr>
        <w:rPr>
          <w:rFonts w:cstheme="minorHAnsi"/>
        </w:rPr>
      </w:pPr>
    </w:p>
    <w:p w:rsidR="00261425" w:rsidRPr="00F00B71" w:rsidRDefault="00261425" w:rsidP="00261425">
      <w:pPr>
        <w:spacing w:line="256" w:lineRule="auto"/>
        <w:rPr>
          <w:rFonts w:ascii="Tahoma" w:hAnsi="Tahoma" w:cs="Tahoma"/>
          <w:sz w:val="21"/>
          <w:szCs w:val="21"/>
        </w:rPr>
      </w:pPr>
    </w:p>
    <w:sectPr w:rsidR="00261425" w:rsidRPr="00F00B71" w:rsidSect="00180048">
      <w:headerReference w:type="default"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2E" w:rsidRDefault="00D1602E" w:rsidP="00DC6A3B">
      <w:pPr>
        <w:spacing w:after="0" w:line="240" w:lineRule="auto"/>
      </w:pPr>
      <w:r>
        <w:separator/>
      </w:r>
    </w:p>
  </w:endnote>
  <w:endnote w:type="continuationSeparator" w:id="0">
    <w:p w:rsidR="00D1602E" w:rsidRDefault="00D1602E" w:rsidP="00DC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Myriad Pro"/>
    <w:panose1 w:val="00000000000000000000"/>
    <w:charset w:val="EE"/>
    <w:family w:val="swiss"/>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670605"/>
      <w:docPartObj>
        <w:docPartGallery w:val="Page Numbers (Bottom of Page)"/>
        <w:docPartUnique/>
      </w:docPartObj>
    </w:sdtPr>
    <w:sdtEndPr/>
    <w:sdtContent>
      <w:p w:rsidR="00DC6A3B" w:rsidRDefault="00DC6A3B">
        <w:pPr>
          <w:pStyle w:val="Zpat"/>
          <w:jc w:val="center"/>
        </w:pPr>
        <w:r>
          <w:fldChar w:fldCharType="begin"/>
        </w:r>
        <w:r>
          <w:instrText>PAGE   \* MERGEFORMAT</w:instrText>
        </w:r>
        <w:r>
          <w:fldChar w:fldCharType="separate"/>
        </w:r>
        <w:r w:rsidR="004E2988">
          <w:rPr>
            <w:noProof/>
          </w:rPr>
          <w:t>1</w:t>
        </w:r>
        <w:r>
          <w:fldChar w:fldCharType="end"/>
        </w:r>
      </w:p>
    </w:sdtContent>
  </w:sdt>
  <w:p w:rsidR="00DC6A3B" w:rsidRDefault="00DC6A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2E" w:rsidRDefault="00D1602E" w:rsidP="00DC6A3B">
      <w:pPr>
        <w:spacing w:after="0" w:line="240" w:lineRule="auto"/>
      </w:pPr>
      <w:r>
        <w:separator/>
      </w:r>
    </w:p>
  </w:footnote>
  <w:footnote w:type="continuationSeparator" w:id="0">
    <w:p w:rsidR="00D1602E" w:rsidRDefault="00D1602E" w:rsidP="00DC6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DA" w:rsidRPr="00C26DDA" w:rsidRDefault="00C26DDA" w:rsidP="00C26DDA">
    <w:pPr>
      <w:tabs>
        <w:tab w:val="center" w:pos="4536"/>
        <w:tab w:val="right" w:pos="9072"/>
      </w:tabs>
      <w:spacing w:after="0" w:line="240" w:lineRule="auto"/>
      <w:rPr>
        <w:rFonts w:ascii="Tahoma" w:eastAsia="Times New Roman" w:hAnsi="Tahoma" w:cs="Tahoma"/>
        <w:caps/>
        <w:sz w:val="21"/>
        <w:szCs w:val="21"/>
        <w:lang w:eastAsia="cs-CZ"/>
      </w:rPr>
    </w:pPr>
    <w:r w:rsidRPr="00C26DDA">
      <w:rPr>
        <w:rFonts w:ascii="Tahoma" w:eastAsia="Times New Roman" w:hAnsi="Tahoma" w:cs="Tahoma"/>
        <w:sz w:val="21"/>
        <w:szCs w:val="21"/>
        <w:lang w:eastAsia="cs-CZ"/>
      </w:rPr>
      <w:t>Příloha č. 1</w:t>
    </w:r>
    <w:r>
      <w:rPr>
        <w:rFonts w:ascii="Tahoma" w:eastAsia="Times New Roman" w:hAnsi="Tahoma" w:cs="Tahoma"/>
        <w:sz w:val="21"/>
        <w:szCs w:val="21"/>
        <w:lang w:eastAsia="cs-CZ"/>
      </w:rPr>
      <w:t>1</w:t>
    </w:r>
    <w:r w:rsidRPr="00C26DDA">
      <w:rPr>
        <w:rFonts w:ascii="Tahoma" w:eastAsia="Times New Roman" w:hAnsi="Tahoma" w:cs="Tahoma"/>
        <w:sz w:val="21"/>
        <w:szCs w:val="21"/>
        <w:lang w:eastAsia="cs-CZ"/>
      </w:rPr>
      <w:t xml:space="preserve"> </w:t>
    </w:r>
  </w:p>
  <w:p w:rsidR="0027266C" w:rsidRDefault="0027266C" w:rsidP="0027266C">
    <w:pPr>
      <w:pStyle w:val="Zhlav"/>
      <w:tabs>
        <w:tab w:val="clear" w:pos="4536"/>
        <w:tab w:val="clear" w:pos="9072"/>
        <w:tab w:val="left" w:pos="15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667"/>
    <w:multiLevelType w:val="multilevel"/>
    <w:tmpl w:val="CD1AFB7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7B0F11"/>
    <w:multiLevelType w:val="hybridMultilevel"/>
    <w:tmpl w:val="85849DDE"/>
    <w:lvl w:ilvl="0" w:tplc="8D2C41BA">
      <w:start w:val="1"/>
      <w:numFmt w:val="upperRoman"/>
      <w:lvlText w:val="%1."/>
      <w:lvlJc w:val="left"/>
      <w:pPr>
        <w:ind w:left="3684" w:hanging="720"/>
      </w:pPr>
      <w:rPr>
        <w:rFonts w:cs="Times New Roman,Bold" w:hint="default"/>
        <w:b/>
      </w:rPr>
    </w:lvl>
    <w:lvl w:ilvl="1" w:tplc="04050019">
      <w:start w:val="1"/>
      <w:numFmt w:val="lowerLetter"/>
      <w:lvlText w:val="%2."/>
      <w:lvlJc w:val="left"/>
      <w:pPr>
        <w:ind w:left="3696" w:hanging="360"/>
      </w:pPr>
    </w:lvl>
    <w:lvl w:ilvl="2" w:tplc="0405001B">
      <w:start w:val="1"/>
      <w:numFmt w:val="lowerRoman"/>
      <w:lvlText w:val="%3."/>
      <w:lvlJc w:val="right"/>
      <w:pPr>
        <w:ind w:left="4416" w:hanging="180"/>
      </w:pPr>
    </w:lvl>
    <w:lvl w:ilvl="3" w:tplc="0405000F">
      <w:start w:val="1"/>
      <w:numFmt w:val="decimal"/>
      <w:lvlText w:val="%4."/>
      <w:lvlJc w:val="left"/>
      <w:pPr>
        <w:ind w:left="5136" w:hanging="360"/>
      </w:pPr>
    </w:lvl>
    <w:lvl w:ilvl="4" w:tplc="04050019" w:tentative="1">
      <w:start w:val="1"/>
      <w:numFmt w:val="lowerLetter"/>
      <w:lvlText w:val="%5."/>
      <w:lvlJc w:val="left"/>
      <w:pPr>
        <w:ind w:left="5856" w:hanging="360"/>
      </w:pPr>
    </w:lvl>
    <w:lvl w:ilvl="5" w:tplc="0405001B" w:tentative="1">
      <w:start w:val="1"/>
      <w:numFmt w:val="lowerRoman"/>
      <w:lvlText w:val="%6."/>
      <w:lvlJc w:val="right"/>
      <w:pPr>
        <w:ind w:left="6576" w:hanging="180"/>
      </w:pPr>
    </w:lvl>
    <w:lvl w:ilvl="6" w:tplc="0405000F" w:tentative="1">
      <w:start w:val="1"/>
      <w:numFmt w:val="decimal"/>
      <w:lvlText w:val="%7."/>
      <w:lvlJc w:val="left"/>
      <w:pPr>
        <w:ind w:left="7296" w:hanging="360"/>
      </w:pPr>
    </w:lvl>
    <w:lvl w:ilvl="7" w:tplc="04050019" w:tentative="1">
      <w:start w:val="1"/>
      <w:numFmt w:val="lowerLetter"/>
      <w:lvlText w:val="%8."/>
      <w:lvlJc w:val="left"/>
      <w:pPr>
        <w:ind w:left="8016" w:hanging="360"/>
      </w:pPr>
    </w:lvl>
    <w:lvl w:ilvl="8" w:tplc="0405001B" w:tentative="1">
      <w:start w:val="1"/>
      <w:numFmt w:val="lowerRoman"/>
      <w:lvlText w:val="%9."/>
      <w:lvlJc w:val="right"/>
      <w:pPr>
        <w:ind w:left="8736" w:hanging="180"/>
      </w:pPr>
    </w:lvl>
  </w:abstractNum>
  <w:abstractNum w:abstractNumId="2" w15:restartNumberingAfterBreak="0">
    <w:nsid w:val="01D566B6"/>
    <w:multiLevelType w:val="hybridMultilevel"/>
    <w:tmpl w:val="FF863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3092B"/>
    <w:multiLevelType w:val="hybridMultilevel"/>
    <w:tmpl w:val="BAF02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F7319"/>
    <w:multiLevelType w:val="hybridMultilevel"/>
    <w:tmpl w:val="FF863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25C3C"/>
    <w:multiLevelType w:val="hybridMultilevel"/>
    <w:tmpl w:val="2A3C96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E4E7A"/>
    <w:multiLevelType w:val="hybridMultilevel"/>
    <w:tmpl w:val="E4EE3CF6"/>
    <w:lvl w:ilvl="0" w:tplc="5690637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C78D0"/>
    <w:multiLevelType w:val="hybridMultilevel"/>
    <w:tmpl w:val="8D207640"/>
    <w:lvl w:ilvl="0" w:tplc="37C2675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E3A51DB"/>
    <w:multiLevelType w:val="hybridMultilevel"/>
    <w:tmpl w:val="FF863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8B2C76"/>
    <w:multiLevelType w:val="multilevel"/>
    <w:tmpl w:val="85BAA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8E3F2F"/>
    <w:multiLevelType w:val="hybridMultilevel"/>
    <w:tmpl w:val="85EAE8A2"/>
    <w:lvl w:ilvl="0" w:tplc="36269D28">
      <w:start w:val="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4260E52"/>
    <w:multiLevelType w:val="hybridMultilevel"/>
    <w:tmpl w:val="44140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F3025E"/>
    <w:multiLevelType w:val="hybridMultilevel"/>
    <w:tmpl w:val="DF7AC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970B85"/>
    <w:multiLevelType w:val="multilevel"/>
    <w:tmpl w:val="5704B15A"/>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02FD1"/>
    <w:multiLevelType w:val="hybridMultilevel"/>
    <w:tmpl w:val="FD9250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A6869E0"/>
    <w:multiLevelType w:val="hybridMultilevel"/>
    <w:tmpl w:val="3710CC98"/>
    <w:lvl w:ilvl="0" w:tplc="8F1C93E4">
      <w:start w:val="4"/>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D180039"/>
    <w:multiLevelType w:val="hybridMultilevel"/>
    <w:tmpl w:val="D93A07CE"/>
    <w:lvl w:ilvl="0" w:tplc="5C26AF7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3FCF2979"/>
    <w:multiLevelType w:val="multilevel"/>
    <w:tmpl w:val="67129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122C10"/>
    <w:multiLevelType w:val="multilevel"/>
    <w:tmpl w:val="1822581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D20567"/>
    <w:multiLevelType w:val="hybridMultilevel"/>
    <w:tmpl w:val="FD9250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3E265C9"/>
    <w:multiLevelType w:val="multilevel"/>
    <w:tmpl w:val="2C1A33B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D74270"/>
    <w:multiLevelType w:val="multilevel"/>
    <w:tmpl w:val="E57429B0"/>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821240"/>
    <w:multiLevelType w:val="hybridMultilevel"/>
    <w:tmpl w:val="FF863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36348F"/>
    <w:multiLevelType w:val="hybridMultilevel"/>
    <w:tmpl w:val="348C34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2F535E9"/>
    <w:multiLevelType w:val="multilevel"/>
    <w:tmpl w:val="D840B3E0"/>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2E12B6"/>
    <w:multiLevelType w:val="hybridMultilevel"/>
    <w:tmpl w:val="EF008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D7D50"/>
    <w:multiLevelType w:val="multilevel"/>
    <w:tmpl w:val="909403F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1C4492"/>
    <w:multiLevelType w:val="hybridMultilevel"/>
    <w:tmpl w:val="645A4BAC"/>
    <w:lvl w:ilvl="0" w:tplc="A60EE526">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CE623B1"/>
    <w:multiLevelType w:val="hybridMultilevel"/>
    <w:tmpl w:val="D07A8B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1709"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D2964"/>
    <w:multiLevelType w:val="hybridMultilevel"/>
    <w:tmpl w:val="FF863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4E3519"/>
    <w:multiLevelType w:val="hybridMultilevel"/>
    <w:tmpl w:val="8D74299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A04721"/>
    <w:multiLevelType w:val="hybridMultilevel"/>
    <w:tmpl w:val="B4E0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065F58"/>
    <w:multiLevelType w:val="multilevel"/>
    <w:tmpl w:val="1B92F6BE"/>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5230AB"/>
    <w:multiLevelType w:val="hybridMultilevel"/>
    <w:tmpl w:val="E7F2B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58386D"/>
    <w:multiLevelType w:val="hybridMultilevel"/>
    <w:tmpl w:val="FD9250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72A6905"/>
    <w:multiLevelType w:val="multilevel"/>
    <w:tmpl w:val="6538AB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C8B4441"/>
    <w:multiLevelType w:val="multilevel"/>
    <w:tmpl w:val="65420AA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966D34"/>
    <w:multiLevelType w:val="hybridMultilevel"/>
    <w:tmpl w:val="0AFCB16C"/>
    <w:lvl w:ilvl="0" w:tplc="ED1E50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F94E6B"/>
    <w:multiLevelType w:val="hybridMultilevel"/>
    <w:tmpl w:val="6238812A"/>
    <w:lvl w:ilvl="0" w:tplc="7C182366">
      <w:numFmt w:val="bullet"/>
      <w:lvlText w:val="-"/>
      <w:lvlJc w:val="left"/>
      <w:pPr>
        <w:ind w:left="1605" w:hanging="360"/>
      </w:pPr>
      <w:rPr>
        <w:rFonts w:ascii="Times New Roman" w:eastAsia="Times New Roman" w:hAnsi="Times New Roman" w:cs="Times New Roman"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num w:numId="1">
    <w:abstractNumId w:val="12"/>
  </w:num>
  <w:num w:numId="2">
    <w:abstractNumId w:val="1"/>
  </w:num>
  <w:num w:numId="3">
    <w:abstractNumId w:val="7"/>
  </w:num>
  <w:num w:numId="4">
    <w:abstractNumId w:val="13"/>
  </w:num>
  <w:num w:numId="5">
    <w:abstractNumId w:val="10"/>
  </w:num>
  <w:num w:numId="6">
    <w:abstractNumId w:val="39"/>
  </w:num>
  <w:num w:numId="7">
    <w:abstractNumId w:val="15"/>
  </w:num>
  <w:num w:numId="8">
    <w:abstractNumId w:val="19"/>
  </w:num>
  <w:num w:numId="9">
    <w:abstractNumId w:val="14"/>
  </w:num>
  <w:num w:numId="10">
    <w:abstractNumId w:val="31"/>
  </w:num>
  <w:num w:numId="11">
    <w:abstractNumId w:val="16"/>
  </w:num>
  <w:num w:numId="12">
    <w:abstractNumId w:val="9"/>
  </w:num>
  <w:num w:numId="13">
    <w:abstractNumId w:val="17"/>
  </w:num>
  <w:num w:numId="14">
    <w:abstractNumId w:val="20"/>
  </w:num>
  <w:num w:numId="15">
    <w:abstractNumId w:val="36"/>
  </w:num>
  <w:num w:numId="16">
    <w:abstractNumId w:val="18"/>
  </w:num>
  <w:num w:numId="17">
    <w:abstractNumId w:val="0"/>
  </w:num>
  <w:num w:numId="18">
    <w:abstractNumId w:val="26"/>
  </w:num>
  <w:num w:numId="19">
    <w:abstractNumId w:val="27"/>
  </w:num>
  <w:num w:numId="20">
    <w:abstractNumId w:val="33"/>
  </w:num>
  <w:num w:numId="21">
    <w:abstractNumId w:val="21"/>
  </w:num>
  <w:num w:numId="22">
    <w:abstractNumId w:val="32"/>
  </w:num>
  <w:num w:numId="23">
    <w:abstractNumId w:val="2"/>
  </w:num>
  <w:num w:numId="24">
    <w:abstractNumId w:val="8"/>
  </w:num>
  <w:num w:numId="25">
    <w:abstractNumId w:val="22"/>
  </w:num>
  <w:num w:numId="26">
    <w:abstractNumId w:val="30"/>
  </w:num>
  <w:num w:numId="27">
    <w:abstractNumId w:val="4"/>
  </w:num>
  <w:num w:numId="28">
    <w:abstractNumId w:val="6"/>
  </w:num>
  <w:num w:numId="29">
    <w:abstractNumId w:val="38"/>
  </w:num>
  <w:num w:numId="30">
    <w:abstractNumId w:val="5"/>
  </w:num>
  <w:num w:numId="31">
    <w:abstractNumId w:val="29"/>
  </w:num>
  <w:num w:numId="32">
    <w:abstractNumId w:val="3"/>
  </w:num>
  <w:num w:numId="33">
    <w:abstractNumId w:val="23"/>
  </w:num>
  <w:num w:numId="34">
    <w:abstractNumId w:val="28"/>
  </w:num>
  <w:num w:numId="35">
    <w:abstractNumId w:val="34"/>
  </w:num>
  <w:num w:numId="36">
    <w:abstractNumId w:val="25"/>
  </w:num>
  <w:num w:numId="37">
    <w:abstractNumId w:val="37"/>
  </w:num>
  <w:num w:numId="38">
    <w:abstractNumId w:val="24"/>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7"/>
    <w:rsid w:val="00011878"/>
    <w:rsid w:val="00013448"/>
    <w:rsid w:val="000139D1"/>
    <w:rsid w:val="00025CE8"/>
    <w:rsid w:val="00030675"/>
    <w:rsid w:val="00032910"/>
    <w:rsid w:val="00042842"/>
    <w:rsid w:val="0004520D"/>
    <w:rsid w:val="00072BBB"/>
    <w:rsid w:val="00075DDE"/>
    <w:rsid w:val="000A07DF"/>
    <w:rsid w:val="000A0BD4"/>
    <w:rsid w:val="000A4919"/>
    <w:rsid w:val="000B1A0D"/>
    <w:rsid w:val="000B4092"/>
    <w:rsid w:val="000D30C2"/>
    <w:rsid w:val="000E33E7"/>
    <w:rsid w:val="000F3426"/>
    <w:rsid w:val="000F4A6E"/>
    <w:rsid w:val="001023A6"/>
    <w:rsid w:val="0011256D"/>
    <w:rsid w:val="00131CDB"/>
    <w:rsid w:val="00132E5A"/>
    <w:rsid w:val="001374C9"/>
    <w:rsid w:val="00152A3B"/>
    <w:rsid w:val="00156594"/>
    <w:rsid w:val="00176039"/>
    <w:rsid w:val="00177D22"/>
    <w:rsid w:val="00180048"/>
    <w:rsid w:val="001849D1"/>
    <w:rsid w:val="00186834"/>
    <w:rsid w:val="001B5C95"/>
    <w:rsid w:val="001C2D54"/>
    <w:rsid w:val="001C4217"/>
    <w:rsid w:val="001C76B3"/>
    <w:rsid w:val="001E17F2"/>
    <w:rsid w:val="001E1B5A"/>
    <w:rsid w:val="001F5299"/>
    <w:rsid w:val="00210961"/>
    <w:rsid w:val="0022169D"/>
    <w:rsid w:val="00236F1A"/>
    <w:rsid w:val="002417B1"/>
    <w:rsid w:val="00261425"/>
    <w:rsid w:val="0027266C"/>
    <w:rsid w:val="00284BFE"/>
    <w:rsid w:val="002A0C3B"/>
    <w:rsid w:val="002A7D84"/>
    <w:rsid w:val="002B204B"/>
    <w:rsid w:val="002C21FA"/>
    <w:rsid w:val="002D264D"/>
    <w:rsid w:val="002D5407"/>
    <w:rsid w:val="002E1457"/>
    <w:rsid w:val="00301E0F"/>
    <w:rsid w:val="00323382"/>
    <w:rsid w:val="003306C0"/>
    <w:rsid w:val="00331044"/>
    <w:rsid w:val="003314BD"/>
    <w:rsid w:val="00336771"/>
    <w:rsid w:val="00361E36"/>
    <w:rsid w:val="00366486"/>
    <w:rsid w:val="00373B6F"/>
    <w:rsid w:val="00384E7F"/>
    <w:rsid w:val="00391D7B"/>
    <w:rsid w:val="00395989"/>
    <w:rsid w:val="003B0AA0"/>
    <w:rsid w:val="003B738D"/>
    <w:rsid w:val="003C2A14"/>
    <w:rsid w:val="003C5A84"/>
    <w:rsid w:val="003C638B"/>
    <w:rsid w:val="003C706A"/>
    <w:rsid w:val="003E3BE9"/>
    <w:rsid w:val="003F74FF"/>
    <w:rsid w:val="00407ABD"/>
    <w:rsid w:val="00413299"/>
    <w:rsid w:val="00432241"/>
    <w:rsid w:val="00435717"/>
    <w:rsid w:val="00442DFC"/>
    <w:rsid w:val="00444867"/>
    <w:rsid w:val="00461E60"/>
    <w:rsid w:val="00464F08"/>
    <w:rsid w:val="00471BAD"/>
    <w:rsid w:val="004756ED"/>
    <w:rsid w:val="00484E2D"/>
    <w:rsid w:val="004875F0"/>
    <w:rsid w:val="004922F4"/>
    <w:rsid w:val="004940D1"/>
    <w:rsid w:val="00495A10"/>
    <w:rsid w:val="004A4CE5"/>
    <w:rsid w:val="004B3784"/>
    <w:rsid w:val="004C7A7C"/>
    <w:rsid w:val="004E2988"/>
    <w:rsid w:val="00500647"/>
    <w:rsid w:val="00511230"/>
    <w:rsid w:val="00520711"/>
    <w:rsid w:val="00520C63"/>
    <w:rsid w:val="005254EE"/>
    <w:rsid w:val="00542678"/>
    <w:rsid w:val="005432CD"/>
    <w:rsid w:val="00545567"/>
    <w:rsid w:val="005520B5"/>
    <w:rsid w:val="00560E9E"/>
    <w:rsid w:val="005641E5"/>
    <w:rsid w:val="005702D3"/>
    <w:rsid w:val="0057570B"/>
    <w:rsid w:val="005905B0"/>
    <w:rsid w:val="005916C1"/>
    <w:rsid w:val="005B1121"/>
    <w:rsid w:val="005B1B3E"/>
    <w:rsid w:val="005B1CD1"/>
    <w:rsid w:val="005E2CEF"/>
    <w:rsid w:val="005E549A"/>
    <w:rsid w:val="005E5D50"/>
    <w:rsid w:val="005E6708"/>
    <w:rsid w:val="005F2515"/>
    <w:rsid w:val="0060043B"/>
    <w:rsid w:val="00621E32"/>
    <w:rsid w:val="0063092F"/>
    <w:rsid w:val="0064285F"/>
    <w:rsid w:val="00646FD2"/>
    <w:rsid w:val="006551F4"/>
    <w:rsid w:val="00671AD8"/>
    <w:rsid w:val="0067465B"/>
    <w:rsid w:val="006814EB"/>
    <w:rsid w:val="00681C42"/>
    <w:rsid w:val="0069198A"/>
    <w:rsid w:val="00692650"/>
    <w:rsid w:val="00694D42"/>
    <w:rsid w:val="006A7FBE"/>
    <w:rsid w:val="006B2E9E"/>
    <w:rsid w:val="006B3D64"/>
    <w:rsid w:val="006B7115"/>
    <w:rsid w:val="006B7A17"/>
    <w:rsid w:val="006C2538"/>
    <w:rsid w:val="006C4F55"/>
    <w:rsid w:val="006E0847"/>
    <w:rsid w:val="006E31B6"/>
    <w:rsid w:val="006E69A2"/>
    <w:rsid w:val="006F546F"/>
    <w:rsid w:val="00705259"/>
    <w:rsid w:val="007075B5"/>
    <w:rsid w:val="00716321"/>
    <w:rsid w:val="007472CC"/>
    <w:rsid w:val="0076195C"/>
    <w:rsid w:val="00765A2D"/>
    <w:rsid w:val="007738B7"/>
    <w:rsid w:val="007765D5"/>
    <w:rsid w:val="00780093"/>
    <w:rsid w:val="007864A0"/>
    <w:rsid w:val="007A10B4"/>
    <w:rsid w:val="007A2B31"/>
    <w:rsid w:val="007A2E62"/>
    <w:rsid w:val="007A7D13"/>
    <w:rsid w:val="007C0A51"/>
    <w:rsid w:val="007C2B17"/>
    <w:rsid w:val="007C2E3B"/>
    <w:rsid w:val="007D2149"/>
    <w:rsid w:val="007D6BC0"/>
    <w:rsid w:val="007E50FE"/>
    <w:rsid w:val="007E5DF9"/>
    <w:rsid w:val="00802479"/>
    <w:rsid w:val="0082208C"/>
    <w:rsid w:val="00847601"/>
    <w:rsid w:val="00857661"/>
    <w:rsid w:val="00866CBA"/>
    <w:rsid w:val="00871334"/>
    <w:rsid w:val="008729B5"/>
    <w:rsid w:val="008A50AA"/>
    <w:rsid w:val="008D693F"/>
    <w:rsid w:val="008E011E"/>
    <w:rsid w:val="008E5062"/>
    <w:rsid w:val="008E6EEC"/>
    <w:rsid w:val="008F6E37"/>
    <w:rsid w:val="009063BF"/>
    <w:rsid w:val="00910827"/>
    <w:rsid w:val="00913DD6"/>
    <w:rsid w:val="0092116D"/>
    <w:rsid w:val="00924472"/>
    <w:rsid w:val="0093152F"/>
    <w:rsid w:val="00933D7F"/>
    <w:rsid w:val="009432B8"/>
    <w:rsid w:val="00943CA7"/>
    <w:rsid w:val="00954D9F"/>
    <w:rsid w:val="009576D0"/>
    <w:rsid w:val="009814B2"/>
    <w:rsid w:val="009815BF"/>
    <w:rsid w:val="00982125"/>
    <w:rsid w:val="0098221D"/>
    <w:rsid w:val="009A452D"/>
    <w:rsid w:val="009A7E01"/>
    <w:rsid w:val="009B5012"/>
    <w:rsid w:val="009C3329"/>
    <w:rsid w:val="009C3878"/>
    <w:rsid w:val="009C58C1"/>
    <w:rsid w:val="009C7E26"/>
    <w:rsid w:val="009E099A"/>
    <w:rsid w:val="009F5697"/>
    <w:rsid w:val="009F5A0B"/>
    <w:rsid w:val="00A06514"/>
    <w:rsid w:val="00A073FF"/>
    <w:rsid w:val="00A07C66"/>
    <w:rsid w:val="00A137F7"/>
    <w:rsid w:val="00A16609"/>
    <w:rsid w:val="00A27BD8"/>
    <w:rsid w:val="00A329CA"/>
    <w:rsid w:val="00A36A76"/>
    <w:rsid w:val="00A37573"/>
    <w:rsid w:val="00A668CA"/>
    <w:rsid w:val="00A70A9D"/>
    <w:rsid w:val="00A81FCB"/>
    <w:rsid w:val="00A85550"/>
    <w:rsid w:val="00A95EDC"/>
    <w:rsid w:val="00AA01EB"/>
    <w:rsid w:val="00AC18F5"/>
    <w:rsid w:val="00AC28F5"/>
    <w:rsid w:val="00AC4E5D"/>
    <w:rsid w:val="00AD28BA"/>
    <w:rsid w:val="00AE0DF1"/>
    <w:rsid w:val="00AE6CE4"/>
    <w:rsid w:val="00B06054"/>
    <w:rsid w:val="00B07009"/>
    <w:rsid w:val="00B34409"/>
    <w:rsid w:val="00B348A4"/>
    <w:rsid w:val="00B41319"/>
    <w:rsid w:val="00B46169"/>
    <w:rsid w:val="00B5363F"/>
    <w:rsid w:val="00B749C8"/>
    <w:rsid w:val="00B8147E"/>
    <w:rsid w:val="00B85D87"/>
    <w:rsid w:val="00B9551D"/>
    <w:rsid w:val="00BA7A70"/>
    <w:rsid w:val="00BB3B4C"/>
    <w:rsid w:val="00BC574C"/>
    <w:rsid w:val="00BC57C7"/>
    <w:rsid w:val="00BD057F"/>
    <w:rsid w:val="00C11997"/>
    <w:rsid w:val="00C129CB"/>
    <w:rsid w:val="00C21395"/>
    <w:rsid w:val="00C26DDA"/>
    <w:rsid w:val="00C32CC7"/>
    <w:rsid w:val="00C371EF"/>
    <w:rsid w:val="00C37C4A"/>
    <w:rsid w:val="00C44AA7"/>
    <w:rsid w:val="00C469EC"/>
    <w:rsid w:val="00C50DF3"/>
    <w:rsid w:val="00C60527"/>
    <w:rsid w:val="00C669E5"/>
    <w:rsid w:val="00C7398D"/>
    <w:rsid w:val="00C8274D"/>
    <w:rsid w:val="00C9187B"/>
    <w:rsid w:val="00CA6EFD"/>
    <w:rsid w:val="00CB2BE2"/>
    <w:rsid w:val="00CD1AA6"/>
    <w:rsid w:val="00CD7CEE"/>
    <w:rsid w:val="00D021AA"/>
    <w:rsid w:val="00D1602E"/>
    <w:rsid w:val="00D37AA8"/>
    <w:rsid w:val="00D37B10"/>
    <w:rsid w:val="00D50485"/>
    <w:rsid w:val="00D62400"/>
    <w:rsid w:val="00D6494E"/>
    <w:rsid w:val="00D66B64"/>
    <w:rsid w:val="00D67BE9"/>
    <w:rsid w:val="00D77B89"/>
    <w:rsid w:val="00D82AEC"/>
    <w:rsid w:val="00D867E7"/>
    <w:rsid w:val="00DA27FE"/>
    <w:rsid w:val="00DA7438"/>
    <w:rsid w:val="00DB4A60"/>
    <w:rsid w:val="00DC0AC5"/>
    <w:rsid w:val="00DC6A3B"/>
    <w:rsid w:val="00DD004C"/>
    <w:rsid w:val="00DF6278"/>
    <w:rsid w:val="00E04813"/>
    <w:rsid w:val="00E36176"/>
    <w:rsid w:val="00E4668D"/>
    <w:rsid w:val="00E6499D"/>
    <w:rsid w:val="00E67AF4"/>
    <w:rsid w:val="00E7411C"/>
    <w:rsid w:val="00E87BDC"/>
    <w:rsid w:val="00E97368"/>
    <w:rsid w:val="00EA3216"/>
    <w:rsid w:val="00EA6342"/>
    <w:rsid w:val="00EB61E5"/>
    <w:rsid w:val="00EC0473"/>
    <w:rsid w:val="00EC6D3A"/>
    <w:rsid w:val="00ED013F"/>
    <w:rsid w:val="00EE71D6"/>
    <w:rsid w:val="00EF47E5"/>
    <w:rsid w:val="00EF65FD"/>
    <w:rsid w:val="00F00B71"/>
    <w:rsid w:val="00F046F9"/>
    <w:rsid w:val="00F07DF3"/>
    <w:rsid w:val="00F11051"/>
    <w:rsid w:val="00F12EDE"/>
    <w:rsid w:val="00F15F0D"/>
    <w:rsid w:val="00F32794"/>
    <w:rsid w:val="00F3302F"/>
    <w:rsid w:val="00F441B6"/>
    <w:rsid w:val="00F47F7D"/>
    <w:rsid w:val="00F536CB"/>
    <w:rsid w:val="00F54C8A"/>
    <w:rsid w:val="00F60046"/>
    <w:rsid w:val="00F67CD2"/>
    <w:rsid w:val="00F74751"/>
    <w:rsid w:val="00F82324"/>
    <w:rsid w:val="00F87F15"/>
    <w:rsid w:val="00FB0B1C"/>
    <w:rsid w:val="00FB0B36"/>
    <w:rsid w:val="00FF3962"/>
    <w:rsid w:val="00FF4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28FE5-437D-4599-B2F3-9C1869F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7F2"/>
  </w:style>
  <w:style w:type="paragraph" w:styleId="Nadpis1">
    <w:name w:val="heading 1"/>
    <w:basedOn w:val="Normln"/>
    <w:next w:val="Normln"/>
    <w:link w:val="Nadpis1Char"/>
    <w:uiPriority w:val="9"/>
    <w:qFormat/>
    <w:rsid w:val="007C2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C60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500647"/>
    <w:pPr>
      <w:keepNext/>
      <w:autoSpaceDE w:val="0"/>
      <w:autoSpaceDN w:val="0"/>
      <w:adjustRightInd w:val="0"/>
      <w:spacing w:before="120" w:after="0" w:line="240" w:lineRule="auto"/>
      <w:outlineLvl w:val="2"/>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F54C8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F54C8A"/>
    <w:rPr>
      <w:color w:val="0563C1"/>
      <w:u w:val="single"/>
    </w:rPr>
  </w:style>
  <w:style w:type="paragraph" w:styleId="Odstavecseseznamem">
    <w:name w:val="List Paragraph"/>
    <w:basedOn w:val="Normln"/>
    <w:uiPriority w:val="34"/>
    <w:qFormat/>
    <w:rsid w:val="00B5363F"/>
    <w:pPr>
      <w:spacing w:after="200" w:line="276" w:lineRule="auto"/>
      <w:ind w:left="720"/>
      <w:contextualSpacing/>
    </w:pPr>
    <w:rPr>
      <w:rFonts w:ascii="Calibri" w:eastAsia="Times New Roman" w:hAnsi="Calibri" w:cs="Times New Roman"/>
      <w:lang w:eastAsia="cs-CZ"/>
    </w:rPr>
  </w:style>
  <w:style w:type="character" w:customStyle="1" w:styleId="Nadpis3Char">
    <w:name w:val="Nadpis 3 Char"/>
    <w:basedOn w:val="Standardnpsmoodstavce"/>
    <w:link w:val="Nadpis3"/>
    <w:rsid w:val="00500647"/>
    <w:rPr>
      <w:rFonts w:ascii="Times New Roman" w:eastAsia="Times New Roman" w:hAnsi="Times New Roman" w:cs="Times New Roman"/>
      <w:b/>
      <w:bCs/>
      <w:sz w:val="24"/>
      <w:szCs w:val="24"/>
      <w:lang w:eastAsia="cs-CZ"/>
    </w:rPr>
  </w:style>
  <w:style w:type="paragraph" w:styleId="Zhlav">
    <w:name w:val="header"/>
    <w:basedOn w:val="Normln"/>
    <w:link w:val="ZhlavChar"/>
    <w:rsid w:val="0050064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500647"/>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C2B17"/>
    <w:rPr>
      <w:rFonts w:asciiTheme="majorHAnsi" w:eastAsiaTheme="majorEastAsia" w:hAnsiTheme="majorHAnsi" w:cstheme="majorBidi"/>
      <w:color w:val="2E74B5" w:themeColor="accent1" w:themeShade="BF"/>
      <w:sz w:val="32"/>
      <w:szCs w:val="32"/>
    </w:rPr>
  </w:style>
  <w:style w:type="paragraph" w:styleId="Obsah1">
    <w:name w:val="toc 1"/>
    <w:basedOn w:val="Normln"/>
    <w:next w:val="Normln"/>
    <w:autoRedefine/>
    <w:semiHidden/>
    <w:rsid w:val="007C2B17"/>
    <w:pPr>
      <w:tabs>
        <w:tab w:val="right" w:leader="dot" w:pos="9062"/>
      </w:tabs>
      <w:spacing w:after="0" w:line="240" w:lineRule="auto"/>
    </w:pPr>
    <w:rPr>
      <w:rFonts w:ascii="Times New Roman" w:eastAsia="Times New Roman" w:hAnsi="Times New Roman" w:cs="Times New Roman"/>
      <w:b/>
      <w:sz w:val="28"/>
      <w:szCs w:val="28"/>
      <w:lang w:eastAsia="cs-CZ"/>
    </w:rPr>
  </w:style>
  <w:style w:type="character" w:customStyle="1" w:styleId="Nadpis2Char">
    <w:name w:val="Nadpis 2 Char"/>
    <w:basedOn w:val="Standardnpsmoodstavce"/>
    <w:link w:val="Nadpis2"/>
    <w:uiPriority w:val="9"/>
    <w:semiHidden/>
    <w:rsid w:val="00C60527"/>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C605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6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DC6A3B"/>
  </w:style>
  <w:style w:type="table" w:styleId="Mkatabulky">
    <w:name w:val="Table Grid"/>
    <w:basedOn w:val="Normlntabulka"/>
    <w:uiPriority w:val="39"/>
    <w:rsid w:val="00A36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013448"/>
    <w:rPr>
      <w:rFonts w:cs="Myriad Pro"/>
      <w:color w:val="000000"/>
      <w:sz w:val="22"/>
      <w:szCs w:val="22"/>
    </w:rPr>
  </w:style>
  <w:style w:type="paragraph" w:customStyle="1" w:styleId="Pa1">
    <w:name w:val="Pa1"/>
    <w:basedOn w:val="Default"/>
    <w:next w:val="Default"/>
    <w:uiPriority w:val="99"/>
    <w:rsid w:val="00013448"/>
    <w:pPr>
      <w:spacing w:line="241" w:lineRule="atLeast"/>
    </w:pPr>
    <w:rPr>
      <w:rFonts w:ascii="Myriad Pro" w:hAnsi="Myriad Pro" w:cstheme="minorBidi"/>
      <w:color w:val="auto"/>
    </w:rPr>
  </w:style>
  <w:style w:type="paragraph" w:customStyle="1" w:styleId="Styl1">
    <w:name w:val="Styl1"/>
    <w:basedOn w:val="Default"/>
    <w:qFormat/>
    <w:rsid w:val="006B2E9E"/>
    <w:pPr>
      <w:numPr>
        <w:numId w:val="31"/>
      </w:numPr>
      <w:spacing w:after="240"/>
      <w:ind w:left="357" w:hanging="357"/>
      <w:outlineLvl w:val="0"/>
    </w:pPr>
    <w:rPr>
      <w:rFonts w:ascii="Tahoma" w:hAnsi="Tahoma" w:cs="Tahoma"/>
      <w:b/>
      <w:bCs/>
      <w:color w:val="auto"/>
      <w:sz w:val="21"/>
      <w:szCs w:val="21"/>
    </w:rPr>
  </w:style>
  <w:style w:type="character" w:customStyle="1" w:styleId="DefaultChar">
    <w:name w:val="Default Char"/>
    <w:basedOn w:val="Standardnpsmoodstavce"/>
    <w:link w:val="Default"/>
    <w:rsid w:val="006B2E9E"/>
    <w:rPr>
      <w:rFonts w:ascii="Calibri" w:hAnsi="Calibri" w:cs="Calibri"/>
      <w:color w:val="000000"/>
      <w:sz w:val="24"/>
      <w:szCs w:val="24"/>
    </w:rPr>
  </w:style>
  <w:style w:type="paragraph" w:styleId="Textbubliny">
    <w:name w:val="Balloon Text"/>
    <w:basedOn w:val="Normln"/>
    <w:link w:val="TextbublinyChar"/>
    <w:uiPriority w:val="99"/>
    <w:semiHidden/>
    <w:unhideWhenUsed/>
    <w:rsid w:val="009C7E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9505">
      <w:bodyDiv w:val="1"/>
      <w:marLeft w:val="0"/>
      <w:marRight w:val="0"/>
      <w:marTop w:val="0"/>
      <w:marBottom w:val="0"/>
      <w:divBdr>
        <w:top w:val="none" w:sz="0" w:space="0" w:color="auto"/>
        <w:left w:val="none" w:sz="0" w:space="0" w:color="auto"/>
        <w:bottom w:val="none" w:sz="0" w:space="0" w:color="auto"/>
        <w:right w:val="none" w:sz="0" w:space="0" w:color="auto"/>
      </w:divBdr>
    </w:div>
    <w:div w:id="1086463414">
      <w:bodyDiv w:val="1"/>
      <w:marLeft w:val="0"/>
      <w:marRight w:val="0"/>
      <w:marTop w:val="0"/>
      <w:marBottom w:val="0"/>
      <w:divBdr>
        <w:top w:val="none" w:sz="0" w:space="0" w:color="auto"/>
        <w:left w:val="none" w:sz="0" w:space="0" w:color="auto"/>
        <w:bottom w:val="none" w:sz="0" w:space="0" w:color="auto"/>
        <w:right w:val="none" w:sz="0" w:space="0" w:color="auto"/>
      </w:divBdr>
    </w:div>
    <w:div w:id="1497568992">
      <w:bodyDiv w:val="1"/>
      <w:marLeft w:val="0"/>
      <w:marRight w:val="0"/>
      <w:marTop w:val="0"/>
      <w:marBottom w:val="0"/>
      <w:divBdr>
        <w:top w:val="none" w:sz="0" w:space="0" w:color="auto"/>
        <w:left w:val="none" w:sz="0" w:space="0" w:color="auto"/>
        <w:bottom w:val="none" w:sz="0" w:space="0" w:color="auto"/>
        <w:right w:val="none" w:sz="0" w:space="0" w:color="auto"/>
      </w:divBdr>
    </w:div>
    <w:div w:id="2139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3798</Words>
  <Characters>22411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MITURA</dc:creator>
  <cp:keywords/>
  <dc:description/>
  <cp:lastModifiedBy>Ivo Sztwiertnia</cp:lastModifiedBy>
  <cp:revision>9</cp:revision>
  <cp:lastPrinted>2019-11-22T13:29:00Z</cp:lastPrinted>
  <dcterms:created xsi:type="dcterms:W3CDTF">2020-01-28T07:37:00Z</dcterms:created>
  <dcterms:modified xsi:type="dcterms:W3CDTF">2020-05-27T13:21:00Z</dcterms:modified>
</cp:coreProperties>
</file>