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A25BC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25BC9">
              <w:rPr>
                <w:rFonts w:ascii="Tahoma" w:hAnsi="Tahoma" w:cs="Tahoma"/>
                <w:b/>
                <w:sz w:val="21"/>
                <w:szCs w:val="21"/>
              </w:rPr>
              <w:t>Strategický plán rozvoje statutárního města Frýdku-Místku 2023-2035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6A454D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C9147B">
              <w:rPr>
                <w:rFonts w:ascii="Tahoma" w:hAnsi="Tahoma" w:cs="Tahoma"/>
                <w:b/>
                <w:bCs/>
                <w:sz w:val="21"/>
                <w:szCs w:val="21"/>
              </w:rPr>
              <w:t>4</w:t>
            </w:r>
            <w:r w:rsidR="00363BE6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20A5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9A8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45</cp:revision>
  <cp:lastPrinted>2017-10-05T08:08:00Z</cp:lastPrinted>
  <dcterms:created xsi:type="dcterms:W3CDTF">2016-11-02T13:59:00Z</dcterms:created>
  <dcterms:modified xsi:type="dcterms:W3CDTF">2022-05-16T14:01:00Z</dcterms:modified>
</cp:coreProperties>
</file>