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F537A" w14:textId="77777777" w:rsidR="00153FF6" w:rsidRDefault="00153FF6" w:rsidP="00153FF6">
      <w:pPr>
        <w:spacing w:line="240" w:lineRule="auto"/>
        <w:ind w:left="2160" w:hanging="2160"/>
        <w:jc w:val="center"/>
        <w:rPr>
          <w:rFonts w:ascii="Tahoma" w:hAnsi="Tahoma" w:cs="Tahoma"/>
          <w:b/>
          <w:bCs/>
          <w:sz w:val="21"/>
          <w:szCs w:val="21"/>
        </w:rPr>
      </w:pPr>
    </w:p>
    <w:p w14:paraId="6A6232AE" w14:textId="77777777" w:rsidR="00153FF6" w:rsidRPr="00AB72EB" w:rsidRDefault="00153FF6" w:rsidP="00153FF6">
      <w:pPr>
        <w:spacing w:line="240" w:lineRule="auto"/>
        <w:ind w:left="2160" w:hanging="2160"/>
        <w:jc w:val="center"/>
        <w:rPr>
          <w:rFonts w:ascii="Tahoma" w:hAnsi="Tahoma" w:cs="Tahoma"/>
          <w:b/>
          <w:bCs/>
          <w:sz w:val="21"/>
          <w:szCs w:val="21"/>
        </w:rPr>
      </w:pPr>
      <w:r w:rsidRPr="00AB72EB">
        <w:rPr>
          <w:rFonts w:ascii="Tahoma" w:hAnsi="Tahoma" w:cs="Tahoma"/>
          <w:b/>
          <w:bCs/>
          <w:sz w:val="21"/>
          <w:szCs w:val="21"/>
        </w:rPr>
        <w:t>SMLOUVA O DÍLO</w:t>
      </w:r>
    </w:p>
    <w:p w14:paraId="543F225D" w14:textId="77777777"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 xml:space="preserve">uzavřena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sz w:val="21"/>
          <w:szCs w:val="21"/>
        </w:rPr>
        <w:t>zákona č. 89/2012 Sb., občanský zákoník, ve znění pozdějších předpisů</w:t>
      </w:r>
    </w:p>
    <w:p w14:paraId="15162BDF" w14:textId="77777777"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Níže označené smluvní strany-----------------------------------------------------------------------------------</w:t>
      </w:r>
    </w:p>
    <w:p w14:paraId="0E9DB493" w14:textId="77777777" w:rsidR="00153FF6" w:rsidRPr="00FD0C5B" w:rsidRDefault="00153FF6" w:rsidP="00153FF6">
      <w:pPr>
        <w:pStyle w:val="bllzaklad"/>
        <w:keepNext/>
        <w:spacing w:after="0"/>
        <w:rPr>
          <w:rFonts w:ascii="Tahoma" w:hAnsi="Tahoma" w:cs="Tahoma"/>
          <w:b/>
          <w:bCs/>
          <w:sz w:val="21"/>
          <w:szCs w:val="21"/>
        </w:rPr>
      </w:pPr>
      <w:r w:rsidRPr="00FD0C5B">
        <w:rPr>
          <w:rFonts w:ascii="Tahoma" w:hAnsi="Tahoma" w:cs="Tahoma"/>
          <w:b/>
          <w:bCs/>
          <w:sz w:val="21"/>
          <w:szCs w:val="21"/>
        </w:rPr>
        <w:t>statutární město Frýdek-Místek</w:t>
      </w:r>
    </w:p>
    <w:p w14:paraId="53252579" w14:textId="77777777"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se sídlem: Radniční 1148, Frýdek, 738 01 Frýdek-Místek</w:t>
      </w:r>
    </w:p>
    <w:p w14:paraId="531B6407" w14:textId="77777777" w:rsidR="00153FF6" w:rsidRPr="00FD0C5B" w:rsidRDefault="00153FF6" w:rsidP="00153FF6">
      <w:pPr>
        <w:pStyle w:val="bllzaklad"/>
        <w:keepNext/>
        <w:spacing w:after="0"/>
        <w:rPr>
          <w:rFonts w:ascii="Tahoma" w:hAnsi="Tahoma" w:cs="Tahoma"/>
          <w:sz w:val="21"/>
          <w:szCs w:val="21"/>
        </w:rPr>
      </w:pPr>
      <w:r>
        <w:rPr>
          <w:rFonts w:ascii="Tahoma" w:hAnsi="Tahoma" w:cs="Tahoma"/>
          <w:sz w:val="21"/>
          <w:szCs w:val="21"/>
        </w:rPr>
        <w:t>zastoupeno</w:t>
      </w:r>
      <w:r w:rsidRPr="00FD0C5B">
        <w:rPr>
          <w:rFonts w:ascii="Tahoma" w:hAnsi="Tahoma" w:cs="Tahoma"/>
          <w:sz w:val="21"/>
          <w:szCs w:val="21"/>
        </w:rPr>
        <w:t xml:space="preserve">: </w:t>
      </w:r>
      <w:r>
        <w:rPr>
          <w:rFonts w:ascii="Tahoma" w:hAnsi="Tahoma" w:cs="Tahoma"/>
          <w:sz w:val="21"/>
          <w:szCs w:val="21"/>
        </w:rPr>
        <w:t>Petrem Korčem</w:t>
      </w:r>
      <w:r w:rsidRPr="00FD0C5B">
        <w:rPr>
          <w:rFonts w:ascii="Tahoma" w:hAnsi="Tahoma" w:cs="Tahoma"/>
          <w:sz w:val="21"/>
          <w:szCs w:val="21"/>
        </w:rPr>
        <w:t>, primátor</w:t>
      </w:r>
      <w:r>
        <w:rPr>
          <w:rFonts w:ascii="Tahoma" w:hAnsi="Tahoma" w:cs="Tahoma"/>
          <w:sz w:val="21"/>
          <w:szCs w:val="21"/>
        </w:rPr>
        <w:t>em</w:t>
      </w:r>
    </w:p>
    <w:p w14:paraId="5CD94EE9" w14:textId="4DA14A83"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IČ</w:t>
      </w:r>
      <w:r w:rsidR="00DC30A5">
        <w:rPr>
          <w:rFonts w:ascii="Tahoma" w:hAnsi="Tahoma" w:cs="Tahoma"/>
          <w:sz w:val="21"/>
          <w:szCs w:val="21"/>
        </w:rPr>
        <w:t>O</w:t>
      </w:r>
      <w:r w:rsidRPr="00FD0C5B">
        <w:rPr>
          <w:rFonts w:ascii="Tahoma" w:hAnsi="Tahoma" w:cs="Tahoma"/>
          <w:sz w:val="21"/>
          <w:szCs w:val="21"/>
        </w:rPr>
        <w:t>:  00296643</w:t>
      </w:r>
    </w:p>
    <w:p w14:paraId="17B52FD7" w14:textId="77777777" w:rsidR="00153FF6" w:rsidRDefault="00153FF6" w:rsidP="00153FF6">
      <w:pPr>
        <w:pStyle w:val="bllzaklad"/>
        <w:keepNext/>
        <w:spacing w:after="0"/>
        <w:rPr>
          <w:rFonts w:ascii="Tahoma" w:hAnsi="Tahoma" w:cs="Tahoma"/>
          <w:sz w:val="21"/>
          <w:szCs w:val="21"/>
        </w:rPr>
      </w:pPr>
      <w:r w:rsidRPr="00FD0C5B">
        <w:rPr>
          <w:rFonts w:ascii="Tahoma" w:hAnsi="Tahoma" w:cs="Tahoma"/>
          <w:sz w:val="21"/>
          <w:szCs w:val="21"/>
        </w:rPr>
        <w:t>Statutární město Frýdek-Místek není osobou povinnou k</w:t>
      </w:r>
      <w:r>
        <w:rPr>
          <w:rFonts w:ascii="Tahoma" w:hAnsi="Tahoma" w:cs="Tahoma"/>
          <w:sz w:val="21"/>
          <w:szCs w:val="21"/>
        </w:rPr>
        <w:t> </w:t>
      </w:r>
      <w:r w:rsidRPr="00FD0C5B">
        <w:rPr>
          <w:rFonts w:ascii="Tahoma" w:hAnsi="Tahoma" w:cs="Tahoma"/>
          <w:sz w:val="21"/>
          <w:szCs w:val="21"/>
        </w:rPr>
        <w:t>dani</w:t>
      </w:r>
    </w:p>
    <w:p w14:paraId="1CF913DD" w14:textId="77777777"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kontaktní osoba ve věcech technických:</w:t>
      </w:r>
    </w:p>
    <w:p w14:paraId="1A7BC713" w14:textId="77777777" w:rsidR="00153FF6" w:rsidRPr="00FD0C5B"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Ing. Jaromír Madenský – zástupce vedoucího odboru </w:t>
      </w:r>
      <w:proofErr w:type="spellStart"/>
      <w:r w:rsidRPr="00FD0C5B">
        <w:rPr>
          <w:rFonts w:ascii="Tahoma" w:hAnsi="Tahoma" w:cs="Tahoma"/>
          <w:sz w:val="21"/>
          <w:szCs w:val="21"/>
        </w:rPr>
        <w:t>DaSH</w:t>
      </w:r>
      <w:proofErr w:type="spellEnd"/>
    </w:p>
    <w:p w14:paraId="1990E9D0" w14:textId="77777777" w:rsidR="00153FF6"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8" w:history="1">
        <w:r w:rsidRPr="00991C7D">
          <w:rPr>
            <w:rStyle w:val="Hypertextovodkaz"/>
            <w:rFonts w:ascii="Tahoma" w:hAnsi="Tahoma" w:cs="Tahoma"/>
            <w:sz w:val="21"/>
            <w:szCs w:val="21"/>
          </w:rPr>
          <w:t>madensky.jaromir@frydekmistek.cz</w:t>
        </w:r>
      </w:hyperlink>
      <w:r w:rsidRPr="00FD0C5B">
        <w:rPr>
          <w:rFonts w:ascii="Tahoma" w:hAnsi="Tahoma" w:cs="Tahoma"/>
          <w:sz w:val="21"/>
          <w:szCs w:val="21"/>
        </w:rPr>
        <w:t>/ tel: 558 609</w:t>
      </w:r>
      <w:r w:rsidR="0050670C">
        <w:rPr>
          <w:rFonts w:ascii="Tahoma" w:hAnsi="Tahoma" w:cs="Tahoma"/>
          <w:sz w:val="21"/>
          <w:szCs w:val="21"/>
        </w:rPr>
        <w:t> </w:t>
      </w:r>
      <w:r w:rsidRPr="00FD0C5B">
        <w:rPr>
          <w:rFonts w:ascii="Tahoma" w:hAnsi="Tahoma" w:cs="Tahoma"/>
          <w:sz w:val="21"/>
          <w:szCs w:val="21"/>
        </w:rPr>
        <w:t>350</w:t>
      </w:r>
    </w:p>
    <w:p w14:paraId="67669618" w14:textId="4237670E" w:rsidR="0050670C" w:rsidRPr="00FD0C5B" w:rsidRDefault="0050670C" w:rsidP="00153FF6">
      <w:pPr>
        <w:spacing w:after="0" w:line="240" w:lineRule="auto"/>
        <w:jc w:val="both"/>
        <w:rPr>
          <w:rFonts w:ascii="Tahoma" w:hAnsi="Tahoma" w:cs="Tahoma"/>
          <w:sz w:val="21"/>
          <w:szCs w:val="21"/>
        </w:rPr>
      </w:pPr>
      <w:r>
        <w:rPr>
          <w:rFonts w:ascii="Tahoma" w:hAnsi="Tahoma" w:cs="Tahoma"/>
          <w:sz w:val="21"/>
          <w:szCs w:val="21"/>
        </w:rPr>
        <w:t>Ing. Kateřina Pišt</w:t>
      </w:r>
      <w:r w:rsidR="00FD6BB7">
        <w:rPr>
          <w:rFonts w:ascii="Tahoma" w:hAnsi="Tahoma" w:cs="Tahoma"/>
          <w:sz w:val="21"/>
          <w:szCs w:val="21"/>
        </w:rPr>
        <w:t>e</w:t>
      </w:r>
      <w:r>
        <w:rPr>
          <w:rFonts w:ascii="Tahoma" w:hAnsi="Tahoma" w:cs="Tahoma"/>
          <w:sz w:val="21"/>
          <w:szCs w:val="21"/>
        </w:rPr>
        <w:t xml:space="preserve">ková, odbor </w:t>
      </w:r>
      <w:proofErr w:type="spellStart"/>
      <w:r>
        <w:rPr>
          <w:rFonts w:ascii="Tahoma" w:hAnsi="Tahoma" w:cs="Tahoma"/>
          <w:sz w:val="21"/>
          <w:szCs w:val="21"/>
        </w:rPr>
        <w:t>DaSH</w:t>
      </w:r>
      <w:proofErr w:type="spellEnd"/>
    </w:p>
    <w:p w14:paraId="65990623" w14:textId="77777777" w:rsidR="0050670C" w:rsidRDefault="0050670C" w:rsidP="0050670C">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9" w:history="1">
        <w:r w:rsidRPr="00267A1D">
          <w:rPr>
            <w:rStyle w:val="Hypertextovodkaz"/>
            <w:rFonts w:ascii="Tahoma" w:hAnsi="Tahoma" w:cs="Tahoma"/>
            <w:sz w:val="21"/>
            <w:szCs w:val="21"/>
          </w:rPr>
          <w:t>pistekova.katerina@frydekmistek.cz</w:t>
        </w:r>
      </w:hyperlink>
      <w:r w:rsidRPr="00FD0C5B">
        <w:rPr>
          <w:rFonts w:ascii="Tahoma" w:hAnsi="Tahoma" w:cs="Tahoma"/>
          <w:sz w:val="21"/>
          <w:szCs w:val="21"/>
        </w:rPr>
        <w:t>/ tel: 558 609</w:t>
      </w:r>
      <w:r>
        <w:rPr>
          <w:rFonts w:ascii="Tahoma" w:hAnsi="Tahoma" w:cs="Tahoma"/>
          <w:sz w:val="21"/>
          <w:szCs w:val="21"/>
        </w:rPr>
        <w:t> 234</w:t>
      </w:r>
    </w:p>
    <w:p w14:paraId="3A8D4A60" w14:textId="77777777" w:rsidR="00153FF6" w:rsidRPr="00FD0C5B" w:rsidRDefault="00153FF6" w:rsidP="00153FF6">
      <w:pPr>
        <w:spacing w:after="0" w:line="240" w:lineRule="auto"/>
        <w:jc w:val="both"/>
        <w:rPr>
          <w:rFonts w:ascii="Tahoma" w:hAnsi="Tahoma" w:cs="Tahoma"/>
          <w:color w:val="FF0000"/>
          <w:sz w:val="21"/>
          <w:szCs w:val="21"/>
        </w:rPr>
      </w:pPr>
    </w:p>
    <w:p w14:paraId="596B20A9"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dále jen objednatel </w:t>
      </w:r>
    </w:p>
    <w:p w14:paraId="7DD0E0C9"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 a</w:t>
      </w:r>
    </w:p>
    <w:p w14:paraId="514C86B7"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7FD8F285"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jméno, příjmení/ název, obchodní firma/ </w:t>
      </w:r>
    </w:p>
    <w:p w14:paraId="40DCC291"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místem podnikání/ se sídlem ...,</w:t>
      </w:r>
    </w:p>
    <w:p w14:paraId="7020FE07"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jejímž jménem jedná ... /v případě právnické osoby/</w:t>
      </w:r>
    </w:p>
    <w:p w14:paraId="3CBE4C14" w14:textId="3FB45350"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IČ</w:t>
      </w:r>
      <w:r w:rsidR="00DC30A5">
        <w:rPr>
          <w:rFonts w:ascii="Tahoma" w:hAnsi="Tahoma" w:cs="Tahoma"/>
          <w:noProof/>
          <w:sz w:val="21"/>
          <w:szCs w:val="21"/>
          <w:lang w:eastAsia="cs-CZ"/>
        </w:rPr>
        <w:t>O</w:t>
      </w:r>
      <w:r w:rsidRPr="00FD0C5B">
        <w:rPr>
          <w:rFonts w:ascii="Tahoma" w:hAnsi="Tahoma" w:cs="Tahoma"/>
          <w:noProof/>
          <w:sz w:val="21"/>
          <w:szCs w:val="21"/>
          <w:lang w:eastAsia="cs-CZ"/>
        </w:rPr>
        <w:t xml:space="preserve">: </w:t>
      </w:r>
    </w:p>
    <w:p w14:paraId="6B7966B7"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DIČ: </w:t>
      </w:r>
    </w:p>
    <w:p w14:paraId="2B667750"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zapsána v obchodním rejstříku vedeném Krajským/městským soudem v…………pod sp. zn. Oddíl ……….vložka …………..  </w:t>
      </w:r>
    </w:p>
    <w:p w14:paraId="14FC0338"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č</w:t>
      </w:r>
      <w:r w:rsidRPr="00FD0C5B">
        <w:rPr>
          <w:rFonts w:ascii="Tahoma" w:hAnsi="Tahoma" w:cs="Tahoma"/>
          <w:noProof/>
          <w:sz w:val="21"/>
          <w:szCs w:val="21"/>
          <w:lang w:eastAsia="cs-CZ"/>
        </w:rPr>
        <w:t xml:space="preserve">. účtu: </w:t>
      </w:r>
    </w:p>
    <w:p w14:paraId="231435F1"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t</w:t>
      </w:r>
      <w:r w:rsidRPr="00FD0C5B">
        <w:rPr>
          <w:rFonts w:ascii="Tahoma" w:hAnsi="Tahoma" w:cs="Tahoma"/>
          <w:noProof/>
          <w:sz w:val="21"/>
          <w:szCs w:val="21"/>
          <w:lang w:eastAsia="cs-CZ"/>
        </w:rPr>
        <w:t xml:space="preserve">el: </w:t>
      </w:r>
    </w:p>
    <w:p w14:paraId="596613AC"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f</w:t>
      </w:r>
      <w:r w:rsidRPr="00FD0C5B">
        <w:rPr>
          <w:rFonts w:ascii="Tahoma" w:hAnsi="Tahoma" w:cs="Tahoma"/>
          <w:noProof/>
          <w:sz w:val="21"/>
          <w:szCs w:val="21"/>
          <w:lang w:eastAsia="cs-CZ"/>
        </w:rPr>
        <w:t xml:space="preserve">ax: </w:t>
      </w:r>
    </w:p>
    <w:p w14:paraId="3C0DA55F" w14:textId="77777777" w:rsidR="00153FF6"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e</w:t>
      </w:r>
      <w:r w:rsidRPr="00FD0C5B">
        <w:rPr>
          <w:rFonts w:ascii="Tahoma" w:hAnsi="Tahoma" w:cs="Tahoma"/>
          <w:noProof/>
          <w:sz w:val="21"/>
          <w:szCs w:val="21"/>
          <w:lang w:eastAsia="cs-CZ"/>
        </w:rPr>
        <w:t xml:space="preserve">-mail: </w:t>
      </w:r>
    </w:p>
    <w:p w14:paraId="728DF8F6"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4B94F233"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dále jen zhotovitel</w:t>
      </w:r>
    </w:p>
    <w:p w14:paraId="2C1C59AF"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objednatel a zhotovitel dále jen smluvní strany  </w:t>
      </w:r>
    </w:p>
    <w:p w14:paraId="56A9492B"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3768D21C" w14:textId="2DF8E3B7" w:rsidR="00153FF6" w:rsidRDefault="00153FF6" w:rsidP="00153FF6">
      <w:pPr>
        <w:autoSpaceDE w:val="0"/>
        <w:autoSpaceDN w:val="0"/>
        <w:adjustRightInd w:val="0"/>
        <w:jc w:val="both"/>
        <w:rPr>
          <w:rFonts w:ascii="Tahoma" w:hAnsi="Tahoma" w:cs="Tahoma"/>
          <w:b/>
          <w:bCs/>
          <w:sz w:val="21"/>
          <w:szCs w:val="21"/>
        </w:rPr>
      </w:pPr>
      <w:r w:rsidRPr="00FD0C5B">
        <w:rPr>
          <w:rFonts w:ascii="Tahoma" w:hAnsi="Tahoma" w:cs="Tahoma"/>
          <w:noProof/>
          <w:sz w:val="21"/>
          <w:szCs w:val="21"/>
          <w:lang w:eastAsia="cs-CZ"/>
        </w:rPr>
        <w:t xml:space="preserve">uzavírají níže uvedeného dne, měsíce a roku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noProof/>
          <w:sz w:val="21"/>
          <w:szCs w:val="21"/>
          <w:lang w:eastAsia="cs-CZ"/>
        </w:rPr>
        <w:t xml:space="preserve">zákona č. 89/2012 Sb., občanský zákoník, ve znění pozdějších předpisů tuto Smlouvu o dílo k veřejné zakázce </w:t>
      </w:r>
      <w:r w:rsidRPr="00FD0C5B">
        <w:rPr>
          <w:rFonts w:ascii="Tahoma" w:hAnsi="Tahoma" w:cs="Tahoma"/>
          <w:b/>
          <w:bCs/>
          <w:noProof/>
          <w:sz w:val="21"/>
          <w:szCs w:val="21"/>
          <w:lang w:eastAsia="cs-CZ"/>
        </w:rPr>
        <w:t>„</w:t>
      </w:r>
      <w:r w:rsidRPr="007437A4">
        <w:rPr>
          <w:rFonts w:ascii="Tahoma" w:hAnsi="Tahoma" w:cs="Tahoma"/>
          <w:b/>
          <w:bCs/>
          <w:sz w:val="21"/>
          <w:szCs w:val="21"/>
        </w:rPr>
        <w:t>Zpracování PD –</w:t>
      </w:r>
      <w:r w:rsidR="00CD1D91">
        <w:rPr>
          <w:rFonts w:ascii="Tahoma" w:hAnsi="Tahoma" w:cs="Tahoma"/>
          <w:b/>
          <w:bCs/>
          <w:sz w:val="21"/>
          <w:szCs w:val="21"/>
        </w:rPr>
        <w:t xml:space="preserve"> </w:t>
      </w:r>
      <w:r w:rsidR="00821282">
        <w:rPr>
          <w:rFonts w:ascii="Tahoma" w:hAnsi="Tahoma" w:cs="Tahoma"/>
          <w:b/>
          <w:bCs/>
          <w:sz w:val="21"/>
          <w:szCs w:val="21"/>
        </w:rPr>
        <w:t>Lískovec, Hájek – doplnění VO a nového napájecího místa</w:t>
      </w:r>
      <w:r w:rsidRPr="00FD0C5B">
        <w:rPr>
          <w:rFonts w:ascii="Tahoma" w:hAnsi="Tahoma" w:cs="Tahoma"/>
          <w:b/>
          <w:bCs/>
          <w:noProof/>
          <w:sz w:val="21"/>
          <w:szCs w:val="21"/>
          <w:lang w:eastAsia="cs-CZ"/>
        </w:rPr>
        <w:t xml:space="preserve">“ </w:t>
      </w:r>
      <w:r w:rsidRPr="00FD0C5B">
        <w:rPr>
          <w:rFonts w:ascii="Tahoma" w:hAnsi="Tahoma" w:cs="Tahoma"/>
          <w:bCs/>
          <w:noProof/>
          <w:sz w:val="21"/>
          <w:szCs w:val="21"/>
          <w:lang w:eastAsia="cs-CZ"/>
        </w:rPr>
        <w:t>následujícího znění a obsahu (dále jen smlouva).</w:t>
      </w:r>
      <w:r w:rsidRPr="00FD0C5B">
        <w:rPr>
          <w:rFonts w:ascii="Tahoma" w:hAnsi="Tahoma" w:cs="Tahoma"/>
          <w:noProof/>
          <w:sz w:val="21"/>
          <w:szCs w:val="21"/>
          <w:lang w:eastAsia="cs-CZ"/>
        </w:rPr>
        <w:t xml:space="preserve"> </w:t>
      </w:r>
    </w:p>
    <w:p w14:paraId="4B514DB2" w14:textId="77777777" w:rsidR="00153FF6" w:rsidRPr="00FD0C5B" w:rsidRDefault="00153FF6" w:rsidP="00153FF6">
      <w:pPr>
        <w:autoSpaceDE w:val="0"/>
        <w:autoSpaceDN w:val="0"/>
        <w:adjustRightInd w:val="0"/>
        <w:spacing w:after="0"/>
        <w:jc w:val="center"/>
        <w:rPr>
          <w:rFonts w:ascii="Tahoma" w:hAnsi="Tahoma" w:cs="Tahoma"/>
          <w:b/>
          <w:bCs/>
          <w:noProof/>
          <w:sz w:val="21"/>
          <w:szCs w:val="21"/>
          <w:lang w:eastAsia="cs-CZ"/>
        </w:rPr>
      </w:pPr>
      <w:r w:rsidRPr="00FD0C5B">
        <w:rPr>
          <w:rFonts w:ascii="Tahoma" w:hAnsi="Tahoma" w:cs="Tahoma"/>
          <w:b/>
          <w:bCs/>
          <w:noProof/>
          <w:sz w:val="21"/>
          <w:szCs w:val="21"/>
          <w:lang w:eastAsia="cs-CZ"/>
        </w:rPr>
        <w:t>článek 1</w:t>
      </w:r>
    </w:p>
    <w:p w14:paraId="091E711F" w14:textId="77777777" w:rsidR="00153FF6" w:rsidRDefault="00153FF6" w:rsidP="00153FF6">
      <w:pPr>
        <w:autoSpaceDE w:val="0"/>
        <w:autoSpaceDN w:val="0"/>
        <w:adjustRightInd w:val="0"/>
        <w:jc w:val="center"/>
        <w:rPr>
          <w:rFonts w:ascii="Tahoma" w:hAnsi="Tahoma" w:cs="Tahoma"/>
          <w:noProof/>
          <w:sz w:val="21"/>
          <w:szCs w:val="21"/>
          <w:lang w:eastAsia="cs-CZ"/>
        </w:rPr>
      </w:pPr>
      <w:r w:rsidRPr="00FD0C5B">
        <w:rPr>
          <w:rFonts w:ascii="Tahoma" w:hAnsi="Tahoma" w:cs="Tahoma"/>
          <w:b/>
          <w:bCs/>
          <w:noProof/>
          <w:sz w:val="21"/>
          <w:szCs w:val="21"/>
          <w:lang w:eastAsia="cs-CZ"/>
        </w:rPr>
        <w:t>Úvodní ustanovení</w:t>
      </w:r>
    </w:p>
    <w:p w14:paraId="6FE6625D" w14:textId="77777777" w:rsidR="00153FF6" w:rsidRPr="00FD0C5B" w:rsidRDefault="00153FF6" w:rsidP="00153FF6">
      <w:pPr>
        <w:autoSpaceDE w:val="0"/>
        <w:autoSpaceDN w:val="0"/>
        <w:adjustRightInd w:val="0"/>
        <w:jc w:val="both"/>
        <w:rPr>
          <w:rFonts w:ascii="Tahoma" w:hAnsi="Tahoma" w:cs="Tahoma"/>
          <w:noProof/>
          <w:sz w:val="21"/>
          <w:szCs w:val="21"/>
          <w:lang w:eastAsia="cs-CZ"/>
        </w:rPr>
      </w:pPr>
      <w:r w:rsidRPr="00FD0C5B">
        <w:rPr>
          <w:rFonts w:ascii="Tahoma" w:hAnsi="Tahoma" w:cs="Tahoma"/>
          <w:noProof/>
          <w:sz w:val="21"/>
          <w:szCs w:val="21"/>
          <w:lang w:eastAsia="cs-CZ"/>
        </w:rPr>
        <w:t>Tuto smlouvu smluvní strany uzavírají s vědomím následujících skutečností:</w:t>
      </w:r>
    </w:p>
    <w:p w14:paraId="74587B26"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01795A45" w14:textId="526BE31B" w:rsidR="00153FF6" w:rsidRPr="00FD0C5B" w:rsidRDefault="00153FF6" w:rsidP="00153FF6">
      <w:pPr>
        <w:keepNext/>
        <w:numPr>
          <w:ilvl w:val="0"/>
          <w:numId w:val="16"/>
        </w:numPr>
        <w:spacing w:after="0" w:line="240" w:lineRule="auto"/>
        <w:ind w:left="284" w:hanging="284"/>
        <w:jc w:val="both"/>
        <w:rPr>
          <w:rFonts w:ascii="Tahoma" w:hAnsi="Tahoma" w:cs="Tahoma"/>
          <w:noProof/>
          <w:sz w:val="21"/>
          <w:szCs w:val="21"/>
          <w:lang w:eastAsia="cs-CZ"/>
        </w:rPr>
      </w:pPr>
      <w:r w:rsidRPr="00FD0C5B">
        <w:rPr>
          <w:rFonts w:ascii="Tahoma" w:hAnsi="Tahoma" w:cs="Tahoma"/>
          <w:noProof/>
          <w:sz w:val="21"/>
          <w:szCs w:val="21"/>
          <w:lang w:eastAsia="cs-CZ"/>
        </w:rPr>
        <w:t xml:space="preserve">Objednatel má záměr vypracovat projektovou dokumentaci </w:t>
      </w:r>
      <w:r w:rsidR="00821282" w:rsidRPr="003B14D5">
        <w:rPr>
          <w:rFonts w:ascii="Tahoma" w:hAnsi="Tahoma" w:cs="Tahoma"/>
          <w:sz w:val="21"/>
          <w:szCs w:val="21"/>
        </w:rPr>
        <w:t xml:space="preserve">pro vydání povolení záměru </w:t>
      </w:r>
      <w:r w:rsidR="00821282" w:rsidRPr="00E346E6">
        <w:rPr>
          <w:rFonts w:ascii="Tahoma" w:hAnsi="Tahoma" w:cs="Tahoma"/>
          <w:sz w:val="21"/>
          <w:szCs w:val="21"/>
        </w:rPr>
        <w:t>a</w:t>
      </w:r>
      <w:r w:rsidR="00821282">
        <w:rPr>
          <w:rFonts w:ascii="Tahoma" w:hAnsi="Tahoma" w:cs="Tahoma"/>
          <w:sz w:val="21"/>
          <w:szCs w:val="21"/>
        </w:rPr>
        <w:t xml:space="preserve"> projektovou dokumentaci pro provádění stavby vč. inženýrské činnosti a výkonu dozoru</w:t>
      </w:r>
      <w:r w:rsidR="00E346E6">
        <w:rPr>
          <w:rFonts w:ascii="Tahoma" w:hAnsi="Tahoma" w:cs="Tahoma"/>
          <w:sz w:val="21"/>
          <w:szCs w:val="21"/>
        </w:rPr>
        <w:t xml:space="preserve"> </w:t>
      </w:r>
      <w:r w:rsidR="00E346E6">
        <w:rPr>
          <w:rFonts w:ascii="Tahoma" w:hAnsi="Tahoma" w:cs="Tahoma"/>
          <w:sz w:val="21"/>
          <w:szCs w:val="21"/>
        </w:rPr>
        <w:lastRenderedPageBreak/>
        <w:t>projektanta</w:t>
      </w:r>
      <w:r w:rsidR="00821282">
        <w:rPr>
          <w:rFonts w:ascii="Tahoma" w:hAnsi="Tahoma" w:cs="Tahoma"/>
          <w:sz w:val="21"/>
          <w:szCs w:val="21"/>
        </w:rPr>
        <w:t xml:space="preserve"> pro výstavbu veřejného osvětlení podél chodníku na ul. K Sedlištím, který se nachází v zalesněné části a vede ke </w:t>
      </w:r>
      <w:r w:rsidR="00821282" w:rsidRPr="00055B10">
        <w:rPr>
          <w:rFonts w:ascii="Tahoma" w:hAnsi="Tahoma" w:cs="Tahoma"/>
          <w:sz w:val="21"/>
          <w:szCs w:val="21"/>
        </w:rPr>
        <w:t>Kapli Povýšení sv. Kříže v</w:t>
      </w:r>
      <w:r w:rsidR="00821282">
        <w:rPr>
          <w:rFonts w:ascii="Tahoma" w:hAnsi="Tahoma" w:cs="Tahoma"/>
          <w:sz w:val="21"/>
          <w:szCs w:val="21"/>
        </w:rPr>
        <w:t> </w:t>
      </w:r>
      <w:r w:rsidR="00821282" w:rsidRPr="00055B10">
        <w:rPr>
          <w:rFonts w:ascii="Tahoma" w:hAnsi="Tahoma" w:cs="Tahoma"/>
          <w:sz w:val="21"/>
          <w:szCs w:val="21"/>
        </w:rPr>
        <w:t>Hájku</w:t>
      </w:r>
      <w:r w:rsidR="00821282">
        <w:rPr>
          <w:rFonts w:ascii="Tahoma" w:hAnsi="Tahoma" w:cs="Tahoma"/>
          <w:sz w:val="21"/>
          <w:szCs w:val="21"/>
        </w:rPr>
        <w:t xml:space="preserve"> </w:t>
      </w:r>
      <w:r w:rsidRPr="00FD0C5B">
        <w:rPr>
          <w:rFonts w:ascii="Tahoma" w:hAnsi="Tahoma" w:cs="Tahoma"/>
          <w:noProof/>
          <w:sz w:val="21"/>
          <w:szCs w:val="21"/>
          <w:lang w:eastAsia="cs-CZ"/>
        </w:rPr>
        <w:t>a za tímto účelem provedl výběr zhotovitele mimo režim zákona</w:t>
      </w:r>
      <w:r>
        <w:rPr>
          <w:rFonts w:ascii="Tahoma" w:hAnsi="Tahoma" w:cs="Tahoma"/>
          <w:noProof/>
          <w:sz w:val="21"/>
          <w:szCs w:val="21"/>
          <w:lang w:eastAsia="cs-CZ"/>
        </w:rPr>
        <w:t xml:space="preserve"> </w:t>
      </w:r>
      <w:r w:rsidRPr="00FD0C5B">
        <w:rPr>
          <w:rFonts w:ascii="Tahoma" w:hAnsi="Tahoma" w:cs="Tahoma"/>
          <w:noProof/>
          <w:sz w:val="21"/>
          <w:szCs w:val="21"/>
          <w:lang w:eastAsia="cs-CZ"/>
        </w:rPr>
        <w:t>č.</w:t>
      </w:r>
      <w:r>
        <w:rPr>
          <w:rFonts w:ascii="Tahoma" w:hAnsi="Tahoma" w:cs="Tahoma"/>
          <w:noProof/>
          <w:sz w:val="21"/>
          <w:szCs w:val="21"/>
          <w:lang w:eastAsia="cs-CZ"/>
        </w:rPr>
        <w:t xml:space="preserve"> </w:t>
      </w:r>
      <w:r w:rsidRPr="00FD0C5B">
        <w:rPr>
          <w:rFonts w:ascii="Tahoma" w:hAnsi="Tahoma" w:cs="Tahoma"/>
          <w:noProof/>
          <w:sz w:val="21"/>
          <w:szCs w:val="21"/>
          <w:lang w:eastAsia="cs-CZ"/>
        </w:rPr>
        <w:t>134/2016 Sb., o zadávání veřejných zakázek, ve znění pozdějších předpisů (dále jen ZZVZ), a to zadávacím postupem dle vnitřní směrnice QS-74-01 – výzvou k podání nabídky neomezenému počtu dodavatelů zveřejněnou na profilu zadavatele.</w:t>
      </w:r>
    </w:p>
    <w:p w14:paraId="2788A71D" w14:textId="77777777" w:rsidR="00153FF6" w:rsidRPr="00FD0C5B" w:rsidRDefault="00153FF6" w:rsidP="00153FF6">
      <w:pPr>
        <w:keepNext/>
        <w:spacing w:after="0" w:line="240" w:lineRule="auto"/>
        <w:ind w:left="284"/>
        <w:jc w:val="both"/>
        <w:rPr>
          <w:rFonts w:ascii="Tahoma" w:hAnsi="Tahoma" w:cs="Tahoma"/>
          <w:noProof/>
          <w:sz w:val="21"/>
          <w:szCs w:val="21"/>
          <w:lang w:eastAsia="cs-CZ"/>
        </w:rPr>
      </w:pPr>
    </w:p>
    <w:p w14:paraId="407FD728" w14:textId="77777777" w:rsidR="00153FF6" w:rsidRPr="00FD0C5B" w:rsidRDefault="00153FF6" w:rsidP="00153FF6">
      <w:pPr>
        <w:pStyle w:val="Odstavecseseznamem"/>
        <w:numPr>
          <w:ilvl w:val="0"/>
          <w:numId w:val="16"/>
        </w:numPr>
        <w:spacing w:after="0" w:line="240" w:lineRule="auto"/>
        <w:ind w:left="284" w:hanging="284"/>
        <w:jc w:val="both"/>
        <w:rPr>
          <w:rFonts w:ascii="Tahoma" w:hAnsi="Tahoma" w:cs="Tahoma"/>
          <w:sz w:val="21"/>
          <w:szCs w:val="21"/>
        </w:rPr>
      </w:pPr>
      <w:r w:rsidRPr="00FD0C5B">
        <w:rPr>
          <w:rFonts w:ascii="Tahoma" w:hAnsi="Tahoma" w:cs="Tahoma"/>
          <w:sz w:val="21"/>
          <w:szCs w:val="21"/>
        </w:rPr>
        <w:t>Zhotovitel předložil v tomto řízení nabídku, která byla objednatelem vybrána jako nejvhodnější, a proto smluvní strany sjednaly následující:</w:t>
      </w:r>
    </w:p>
    <w:p w14:paraId="036DF3C9" w14:textId="77777777" w:rsidR="00153FF6" w:rsidRDefault="00153FF6" w:rsidP="00153FF6">
      <w:pPr>
        <w:keepNext/>
        <w:keepLines/>
        <w:tabs>
          <w:tab w:val="left" w:pos="3969"/>
        </w:tabs>
        <w:spacing w:after="0" w:line="240" w:lineRule="auto"/>
        <w:ind w:left="284" w:hanging="284"/>
        <w:jc w:val="center"/>
        <w:rPr>
          <w:rFonts w:ascii="Tahoma" w:hAnsi="Tahoma" w:cs="Tahoma"/>
          <w:b/>
          <w:bCs/>
          <w:sz w:val="21"/>
          <w:szCs w:val="21"/>
        </w:rPr>
      </w:pPr>
    </w:p>
    <w:p w14:paraId="2C2E2483"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 xml:space="preserve">článek 2 </w:t>
      </w:r>
    </w:p>
    <w:p w14:paraId="013B7BCD"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Předmět a rozsah plnění</w:t>
      </w:r>
    </w:p>
    <w:p w14:paraId="62092284"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p>
    <w:p w14:paraId="6EE75A8D" w14:textId="77777777" w:rsidR="002974DA" w:rsidRPr="000008E4" w:rsidRDefault="002974DA" w:rsidP="002974DA">
      <w:pPr>
        <w:keepNext/>
        <w:numPr>
          <w:ilvl w:val="3"/>
          <w:numId w:val="17"/>
        </w:numPr>
        <w:suppressAutoHyphens/>
        <w:autoSpaceDE w:val="0"/>
        <w:autoSpaceDN w:val="0"/>
        <w:adjustRightInd w:val="0"/>
        <w:ind w:left="284" w:right="-1" w:hanging="284"/>
        <w:contextualSpacing/>
        <w:jc w:val="both"/>
        <w:rPr>
          <w:rFonts w:ascii="Tahoma" w:hAnsi="Tahoma" w:cs="Tahoma"/>
          <w:b/>
          <w:bCs/>
          <w:sz w:val="21"/>
          <w:szCs w:val="21"/>
        </w:rPr>
      </w:pPr>
      <w:r w:rsidRPr="000008E4">
        <w:rPr>
          <w:rFonts w:ascii="Tahoma" w:hAnsi="Tahoma" w:cs="Tahoma"/>
          <w:sz w:val="21"/>
          <w:szCs w:val="21"/>
        </w:rPr>
        <w:t>Předmětem smlouvy je:</w:t>
      </w:r>
    </w:p>
    <w:p w14:paraId="3C89B382" w14:textId="77777777" w:rsidR="002974DA" w:rsidRPr="000008E4" w:rsidRDefault="002974DA" w:rsidP="002974DA">
      <w:pPr>
        <w:keepNext/>
        <w:suppressAutoHyphens/>
        <w:autoSpaceDE w:val="0"/>
        <w:autoSpaceDN w:val="0"/>
        <w:adjustRightInd w:val="0"/>
        <w:ind w:left="284" w:right="-1"/>
        <w:contextualSpacing/>
        <w:jc w:val="both"/>
        <w:rPr>
          <w:rFonts w:ascii="Tahoma" w:hAnsi="Tahoma" w:cs="Tahoma"/>
          <w:sz w:val="21"/>
          <w:szCs w:val="21"/>
        </w:rPr>
      </w:pPr>
    </w:p>
    <w:p w14:paraId="09B84571" w14:textId="0FF46BDC" w:rsidR="002974DA" w:rsidRPr="000008E4" w:rsidRDefault="002974DA" w:rsidP="002974DA">
      <w:pPr>
        <w:keepNext/>
        <w:suppressAutoHyphens/>
        <w:autoSpaceDE w:val="0"/>
        <w:autoSpaceDN w:val="0"/>
        <w:adjustRightInd w:val="0"/>
        <w:ind w:left="709" w:right="-1" w:hanging="425"/>
        <w:contextualSpacing/>
        <w:jc w:val="both"/>
        <w:rPr>
          <w:rFonts w:ascii="Tahoma" w:hAnsi="Tahoma" w:cs="Tahoma"/>
          <w:b/>
          <w:bCs/>
          <w:sz w:val="21"/>
          <w:szCs w:val="21"/>
        </w:rPr>
      </w:pPr>
      <w:r w:rsidRPr="000008E4">
        <w:rPr>
          <w:rFonts w:ascii="Tahoma" w:hAnsi="Tahoma" w:cs="Tahoma"/>
          <w:sz w:val="21"/>
          <w:szCs w:val="21"/>
        </w:rPr>
        <w:t xml:space="preserve">a)   závazek zhotovitele zpracovat na svůj náklad a nebezpečí projektovou dokumentaci (PD) v níže definovaných výkonových stupních, </w:t>
      </w:r>
      <w:r w:rsidRPr="000008E4">
        <w:rPr>
          <w:rFonts w:ascii="Tahoma" w:hAnsi="Tahoma" w:cs="Tahoma"/>
          <w:noProof/>
          <w:sz w:val="21"/>
          <w:szCs w:val="21"/>
        </w:rPr>
        <w:t>výkon dalších činností dále definovaných a nezbytných pro realizaci akce „</w:t>
      </w:r>
      <w:r w:rsidR="00BC01F5">
        <w:rPr>
          <w:rFonts w:ascii="Tahoma" w:hAnsi="Tahoma" w:cs="Tahoma"/>
          <w:b/>
          <w:bCs/>
          <w:sz w:val="21"/>
          <w:szCs w:val="21"/>
        </w:rPr>
        <w:t>Lískovec, Hájek – doplnění VO a nového napájecího místa</w:t>
      </w:r>
      <w:r w:rsidRPr="000008E4">
        <w:rPr>
          <w:rFonts w:ascii="Tahoma" w:hAnsi="Tahoma" w:cs="Tahoma"/>
          <w:b/>
          <w:bCs/>
          <w:noProof/>
          <w:sz w:val="21"/>
          <w:szCs w:val="21"/>
        </w:rPr>
        <w:t xml:space="preserve">“ </w:t>
      </w:r>
      <w:r w:rsidRPr="000008E4">
        <w:rPr>
          <w:rFonts w:ascii="Tahoma" w:hAnsi="Tahoma" w:cs="Tahoma"/>
          <w:b/>
          <w:noProof/>
          <w:sz w:val="21"/>
          <w:szCs w:val="21"/>
        </w:rPr>
        <w:t>(dále také dílo),</w:t>
      </w:r>
      <w:r w:rsidRPr="000008E4">
        <w:rPr>
          <w:rFonts w:ascii="Tahoma" w:hAnsi="Tahoma" w:cs="Tahoma"/>
          <w:noProof/>
          <w:sz w:val="21"/>
          <w:szCs w:val="21"/>
        </w:rPr>
        <w:t xml:space="preserve"> včetně výkonu dozoru</w:t>
      </w:r>
      <w:r w:rsidR="00E346E6">
        <w:rPr>
          <w:rFonts w:ascii="Tahoma" w:hAnsi="Tahoma" w:cs="Tahoma"/>
          <w:noProof/>
          <w:sz w:val="21"/>
          <w:szCs w:val="21"/>
        </w:rPr>
        <w:t xml:space="preserve"> projektanta</w:t>
      </w:r>
      <w:r w:rsidRPr="000008E4">
        <w:rPr>
          <w:rFonts w:ascii="Tahoma" w:hAnsi="Tahoma" w:cs="Tahoma"/>
          <w:noProof/>
          <w:sz w:val="21"/>
          <w:szCs w:val="21"/>
        </w:rPr>
        <w:t>;</w:t>
      </w:r>
    </w:p>
    <w:p w14:paraId="7D4CB0E7" w14:textId="77777777" w:rsidR="002974DA" w:rsidRPr="000008E4" w:rsidRDefault="002974DA" w:rsidP="002974DA">
      <w:pPr>
        <w:keepNext/>
        <w:suppressAutoHyphens/>
        <w:autoSpaceDE w:val="0"/>
        <w:autoSpaceDN w:val="0"/>
        <w:adjustRightInd w:val="0"/>
        <w:ind w:left="567" w:right="-1"/>
        <w:contextualSpacing/>
        <w:jc w:val="both"/>
        <w:rPr>
          <w:rFonts w:ascii="Tahoma" w:hAnsi="Tahoma" w:cs="Tahoma"/>
          <w:b/>
          <w:bCs/>
          <w:sz w:val="21"/>
          <w:szCs w:val="21"/>
        </w:rPr>
      </w:pPr>
    </w:p>
    <w:p w14:paraId="022B783F" w14:textId="77777777" w:rsidR="002974DA" w:rsidRPr="000008E4" w:rsidRDefault="002974DA" w:rsidP="002974DA">
      <w:pPr>
        <w:keepNext/>
        <w:numPr>
          <w:ilvl w:val="0"/>
          <w:numId w:val="17"/>
        </w:numPr>
        <w:suppressAutoHyphens/>
        <w:autoSpaceDE w:val="0"/>
        <w:autoSpaceDN w:val="0"/>
        <w:adjustRightInd w:val="0"/>
        <w:ind w:left="567" w:right="-1" w:hanging="283"/>
        <w:contextualSpacing/>
        <w:jc w:val="both"/>
        <w:rPr>
          <w:rFonts w:ascii="Tahoma" w:hAnsi="Tahoma" w:cs="Tahoma"/>
          <w:b/>
          <w:bCs/>
          <w:sz w:val="21"/>
          <w:szCs w:val="21"/>
        </w:rPr>
      </w:pPr>
      <w:r w:rsidRPr="000008E4">
        <w:rPr>
          <w:rFonts w:ascii="Tahoma" w:hAnsi="Tahoma" w:cs="Tahoma"/>
          <w:sz w:val="21"/>
          <w:szCs w:val="21"/>
        </w:rPr>
        <w:t xml:space="preserve">  závazek objednatele </w:t>
      </w:r>
      <w:r w:rsidRPr="000008E4">
        <w:rPr>
          <w:rFonts w:ascii="Tahoma" w:hAnsi="Tahoma" w:cs="Tahoma"/>
          <w:noProof/>
          <w:sz w:val="21"/>
          <w:szCs w:val="21"/>
        </w:rPr>
        <w:t>dokončené dílo převzít a zaplatit sjednanou cenu.</w:t>
      </w:r>
    </w:p>
    <w:p w14:paraId="58B0B2C5" w14:textId="3F5EF47B" w:rsidR="002974DA" w:rsidRDefault="002974DA" w:rsidP="002974DA">
      <w:pPr>
        <w:keepNext/>
        <w:suppressAutoHyphens/>
        <w:autoSpaceDE w:val="0"/>
        <w:autoSpaceDN w:val="0"/>
        <w:adjustRightInd w:val="0"/>
        <w:ind w:right="-1"/>
        <w:jc w:val="both"/>
        <w:rPr>
          <w:rFonts w:ascii="Tahoma" w:hAnsi="Tahoma" w:cs="Tahoma"/>
          <w:b/>
          <w:bCs/>
          <w:sz w:val="21"/>
          <w:szCs w:val="21"/>
        </w:rPr>
      </w:pPr>
    </w:p>
    <w:p w14:paraId="38D5FA03" w14:textId="77B0359C" w:rsidR="00693C14" w:rsidRPr="000008E4" w:rsidRDefault="00693C14" w:rsidP="002974DA">
      <w:pPr>
        <w:keepNext/>
        <w:suppressAutoHyphens/>
        <w:autoSpaceDE w:val="0"/>
        <w:autoSpaceDN w:val="0"/>
        <w:adjustRightInd w:val="0"/>
        <w:ind w:right="-1"/>
        <w:jc w:val="both"/>
        <w:rPr>
          <w:rFonts w:ascii="Tahoma" w:hAnsi="Tahoma" w:cs="Tahoma"/>
          <w:b/>
          <w:bCs/>
          <w:sz w:val="21"/>
          <w:szCs w:val="21"/>
        </w:rPr>
      </w:pPr>
      <w:r>
        <w:rPr>
          <w:rFonts w:ascii="Tahoma" w:hAnsi="Tahoma" w:cs="Tahoma"/>
          <w:b/>
          <w:bCs/>
          <w:sz w:val="21"/>
          <w:szCs w:val="21"/>
        </w:rPr>
        <w:t>Vymezení stavebního záměru/stavební program</w:t>
      </w:r>
    </w:p>
    <w:p w14:paraId="6FEAAD58" w14:textId="77777777" w:rsidR="00693C14" w:rsidRDefault="00693C14" w:rsidP="00384ADF">
      <w:pPr>
        <w:numPr>
          <w:ilvl w:val="0"/>
          <w:numId w:val="25"/>
        </w:numPr>
        <w:autoSpaceDE w:val="0"/>
        <w:autoSpaceDN w:val="0"/>
        <w:adjustRightInd w:val="0"/>
        <w:spacing w:line="240" w:lineRule="atLeast"/>
        <w:ind w:left="284" w:hanging="284"/>
        <w:contextualSpacing/>
        <w:jc w:val="both"/>
        <w:rPr>
          <w:rFonts w:ascii="Tahoma" w:hAnsi="Tahoma" w:cs="Tahoma"/>
          <w:sz w:val="21"/>
          <w:szCs w:val="21"/>
        </w:rPr>
      </w:pPr>
      <w:r w:rsidRPr="00693C14">
        <w:rPr>
          <w:rFonts w:ascii="Tahoma" w:hAnsi="Tahoma" w:cs="Tahoma"/>
          <w:sz w:val="21"/>
          <w:szCs w:val="21"/>
        </w:rPr>
        <w:t>Projektová dokumentace bude řešit</w:t>
      </w:r>
      <w:r>
        <w:rPr>
          <w:rFonts w:ascii="Tahoma" w:hAnsi="Tahoma" w:cs="Tahoma"/>
          <w:sz w:val="21"/>
          <w:szCs w:val="21"/>
        </w:rPr>
        <w:t>:</w:t>
      </w:r>
    </w:p>
    <w:p w14:paraId="71BEF71F" w14:textId="50AA5401" w:rsidR="00260E06" w:rsidRPr="003B14D5" w:rsidRDefault="00693C14" w:rsidP="003B14D5">
      <w:pPr>
        <w:pStyle w:val="Odstavecseseznamem"/>
        <w:numPr>
          <w:ilvl w:val="0"/>
          <w:numId w:val="33"/>
        </w:numPr>
        <w:autoSpaceDE w:val="0"/>
        <w:autoSpaceDN w:val="0"/>
        <w:adjustRightInd w:val="0"/>
        <w:spacing w:line="240" w:lineRule="atLeast"/>
        <w:jc w:val="both"/>
        <w:rPr>
          <w:rFonts w:ascii="Tahoma" w:hAnsi="Tahoma" w:cs="Tahoma"/>
          <w:sz w:val="21"/>
          <w:szCs w:val="21"/>
        </w:rPr>
      </w:pPr>
      <w:r w:rsidRPr="003B14D5">
        <w:rPr>
          <w:rFonts w:ascii="Tahoma" w:hAnsi="Tahoma" w:cs="Tahoma"/>
          <w:sz w:val="21"/>
          <w:szCs w:val="21"/>
        </w:rPr>
        <w:t>výstavbu veřejného osvětlení podél chodníku na ul. K Sedlištím, který se nachází v zalesněné části a vede ke Kapli Povýšení sv. Kříže v</w:t>
      </w:r>
      <w:r>
        <w:rPr>
          <w:rFonts w:ascii="Tahoma" w:hAnsi="Tahoma" w:cs="Tahoma"/>
          <w:sz w:val="21"/>
          <w:szCs w:val="21"/>
        </w:rPr>
        <w:t> </w:t>
      </w:r>
      <w:r w:rsidRPr="003B14D5">
        <w:rPr>
          <w:rFonts w:ascii="Tahoma" w:hAnsi="Tahoma" w:cs="Tahoma"/>
          <w:sz w:val="21"/>
          <w:szCs w:val="21"/>
        </w:rPr>
        <w:t>Hájku</w:t>
      </w:r>
      <w:r>
        <w:rPr>
          <w:rFonts w:ascii="Tahoma" w:hAnsi="Tahoma" w:cs="Tahoma"/>
          <w:sz w:val="21"/>
          <w:szCs w:val="21"/>
        </w:rPr>
        <w:t xml:space="preserve"> v podobě</w:t>
      </w:r>
      <w:r w:rsidR="002974DA" w:rsidRPr="003B14D5">
        <w:rPr>
          <w:rFonts w:ascii="Tahoma" w:hAnsi="Tahoma" w:cs="Tahoma"/>
          <w:sz w:val="21"/>
          <w:szCs w:val="21"/>
        </w:rPr>
        <w:t xml:space="preserve"> </w:t>
      </w:r>
      <w:r w:rsidR="00260E06" w:rsidRPr="003B14D5">
        <w:rPr>
          <w:rFonts w:ascii="Tahoma" w:hAnsi="Tahoma" w:cs="Tahoma"/>
          <w:sz w:val="21"/>
          <w:szCs w:val="21"/>
        </w:rPr>
        <w:t>samostatn</w:t>
      </w:r>
      <w:r>
        <w:rPr>
          <w:rFonts w:ascii="Tahoma" w:hAnsi="Tahoma" w:cs="Tahoma"/>
          <w:sz w:val="21"/>
          <w:szCs w:val="21"/>
        </w:rPr>
        <w:t>ého</w:t>
      </w:r>
      <w:r w:rsidR="00260E06" w:rsidRPr="003B14D5">
        <w:rPr>
          <w:rFonts w:ascii="Tahoma" w:hAnsi="Tahoma" w:cs="Tahoma"/>
          <w:sz w:val="21"/>
          <w:szCs w:val="21"/>
        </w:rPr>
        <w:t xml:space="preserve"> stavební</w:t>
      </w:r>
      <w:r>
        <w:rPr>
          <w:rFonts w:ascii="Tahoma" w:hAnsi="Tahoma" w:cs="Tahoma"/>
          <w:sz w:val="21"/>
          <w:szCs w:val="21"/>
        </w:rPr>
        <w:t>ho</w:t>
      </w:r>
      <w:r w:rsidR="00260E06" w:rsidRPr="003B14D5">
        <w:rPr>
          <w:rFonts w:ascii="Tahoma" w:hAnsi="Tahoma" w:cs="Tahoma"/>
          <w:sz w:val="21"/>
          <w:szCs w:val="21"/>
        </w:rPr>
        <w:t xml:space="preserve"> objekt</w:t>
      </w:r>
      <w:r>
        <w:rPr>
          <w:rFonts w:ascii="Tahoma" w:hAnsi="Tahoma" w:cs="Tahoma"/>
          <w:sz w:val="21"/>
          <w:szCs w:val="21"/>
        </w:rPr>
        <w:t>u</w:t>
      </w:r>
      <w:r w:rsidR="00260E06" w:rsidRPr="003B14D5">
        <w:rPr>
          <w:rFonts w:ascii="Tahoma" w:hAnsi="Tahoma" w:cs="Tahoma"/>
          <w:sz w:val="21"/>
          <w:szCs w:val="21"/>
        </w:rPr>
        <w:t xml:space="preserve"> –</w:t>
      </w:r>
      <w:r>
        <w:rPr>
          <w:rFonts w:ascii="Tahoma" w:hAnsi="Tahoma" w:cs="Tahoma"/>
          <w:sz w:val="21"/>
          <w:szCs w:val="21"/>
        </w:rPr>
        <w:t xml:space="preserve"> </w:t>
      </w:r>
      <w:r w:rsidR="00260E06" w:rsidRPr="003B14D5">
        <w:rPr>
          <w:rFonts w:ascii="Tahoma" w:hAnsi="Tahoma" w:cs="Tahoma"/>
          <w:sz w:val="21"/>
          <w:szCs w:val="21"/>
        </w:rPr>
        <w:t>nového odběrného místa s osazením elektroměru pro použití v případě pořádání městských akcí. Toto místo nelze vybudovat připojením na vedení veřejného osvětlení, je nutné vedení připojit na sloup el. vedení umístěný přes místní komunikaci (nejlépe podzemním vedením).</w:t>
      </w:r>
    </w:p>
    <w:p w14:paraId="461B5440" w14:textId="49A953D0" w:rsidR="00260E06" w:rsidRDefault="00260E06" w:rsidP="003B14D5">
      <w:pPr>
        <w:pStyle w:val="Odstavecseseznamem"/>
        <w:numPr>
          <w:ilvl w:val="0"/>
          <w:numId w:val="33"/>
        </w:numPr>
        <w:autoSpaceDE w:val="0"/>
        <w:autoSpaceDN w:val="0"/>
        <w:adjustRightInd w:val="0"/>
        <w:spacing w:line="240" w:lineRule="atLeast"/>
        <w:jc w:val="both"/>
        <w:rPr>
          <w:rFonts w:ascii="Tahoma" w:hAnsi="Tahoma" w:cs="Tahoma"/>
          <w:sz w:val="21"/>
          <w:szCs w:val="21"/>
        </w:rPr>
      </w:pPr>
      <w:r>
        <w:rPr>
          <w:rFonts w:ascii="Tahoma" w:hAnsi="Tahoma" w:cs="Tahoma"/>
          <w:sz w:val="21"/>
          <w:szCs w:val="21"/>
        </w:rPr>
        <w:t>typ svítidla viz příloha – CUT-1 LED – nízké svítidlo osvětlující pouze chodník</w:t>
      </w:r>
      <w:r w:rsidR="00693C14">
        <w:rPr>
          <w:rFonts w:ascii="Tahoma" w:hAnsi="Tahoma" w:cs="Tahoma"/>
          <w:sz w:val="21"/>
          <w:szCs w:val="21"/>
        </w:rPr>
        <w:t>;</w:t>
      </w:r>
    </w:p>
    <w:p w14:paraId="5CDADDC2" w14:textId="33A31505" w:rsidR="00693C14" w:rsidRPr="00133F79" w:rsidRDefault="00C26B1E" w:rsidP="003B14D5">
      <w:pPr>
        <w:pStyle w:val="Odstavecseseznamem"/>
        <w:numPr>
          <w:ilvl w:val="0"/>
          <w:numId w:val="33"/>
        </w:numPr>
        <w:autoSpaceDE w:val="0"/>
        <w:autoSpaceDN w:val="0"/>
        <w:adjustRightInd w:val="0"/>
        <w:spacing w:after="0" w:line="240" w:lineRule="auto"/>
        <w:jc w:val="both"/>
        <w:rPr>
          <w:rFonts w:ascii="Tahoma" w:hAnsi="Tahoma" w:cs="Tahoma"/>
          <w:sz w:val="21"/>
          <w:szCs w:val="21"/>
        </w:rPr>
      </w:pPr>
      <w:r w:rsidRPr="00133F79">
        <w:rPr>
          <w:rFonts w:ascii="Tahoma" w:hAnsi="Tahoma" w:cs="Tahoma"/>
          <w:sz w:val="21"/>
          <w:szCs w:val="21"/>
        </w:rPr>
        <w:t>Rozsah vedení je v délce cca 160 m od autobusového zálivu „Frýdek-Místek, Lískovec, Hájek“ po kapli</w:t>
      </w:r>
      <w:r w:rsidR="00693C14">
        <w:rPr>
          <w:rFonts w:ascii="Tahoma" w:hAnsi="Tahoma" w:cs="Tahoma"/>
          <w:sz w:val="21"/>
          <w:szCs w:val="21"/>
        </w:rPr>
        <w:t xml:space="preserve"> dle </w:t>
      </w:r>
      <w:r w:rsidR="00693C14" w:rsidRPr="00133F79">
        <w:rPr>
          <w:rFonts w:ascii="Tahoma" w:hAnsi="Tahoma" w:cs="Tahoma"/>
          <w:sz w:val="21"/>
          <w:szCs w:val="21"/>
        </w:rPr>
        <w:t xml:space="preserve">situace </w:t>
      </w:r>
      <w:r w:rsidR="00F73814">
        <w:rPr>
          <w:rFonts w:ascii="Tahoma" w:hAnsi="Tahoma" w:cs="Tahoma"/>
          <w:sz w:val="21"/>
          <w:szCs w:val="21"/>
        </w:rPr>
        <w:t>vymezené v příloze č. 1 této smlouvy.</w:t>
      </w:r>
    </w:p>
    <w:p w14:paraId="3EF1C9E3" w14:textId="77777777" w:rsidR="00693C14" w:rsidRPr="00AE1540" w:rsidRDefault="00693C14" w:rsidP="003B14D5">
      <w:pPr>
        <w:pStyle w:val="Odstavecseseznamem"/>
        <w:autoSpaceDE w:val="0"/>
        <w:autoSpaceDN w:val="0"/>
        <w:adjustRightInd w:val="0"/>
        <w:spacing w:line="240" w:lineRule="atLeast"/>
        <w:ind w:left="1066"/>
        <w:jc w:val="both"/>
        <w:rPr>
          <w:rFonts w:ascii="Tahoma" w:hAnsi="Tahoma" w:cs="Tahoma"/>
          <w:sz w:val="21"/>
          <w:szCs w:val="21"/>
        </w:rPr>
      </w:pPr>
    </w:p>
    <w:p w14:paraId="267684A1" w14:textId="77777777" w:rsidR="002974DA" w:rsidRPr="000008E4" w:rsidRDefault="002974DA" w:rsidP="00384ADF">
      <w:pPr>
        <w:numPr>
          <w:ilvl w:val="0"/>
          <w:numId w:val="24"/>
        </w:numPr>
        <w:autoSpaceDE w:val="0"/>
        <w:autoSpaceDN w:val="0"/>
        <w:adjustRightInd w:val="0"/>
        <w:ind w:left="284" w:hanging="426"/>
        <w:contextualSpacing/>
        <w:jc w:val="both"/>
        <w:rPr>
          <w:rFonts w:ascii="Tahoma" w:hAnsi="Tahoma" w:cs="Tahoma"/>
          <w:noProof/>
          <w:sz w:val="21"/>
          <w:szCs w:val="21"/>
        </w:rPr>
      </w:pPr>
      <w:r w:rsidRPr="000008E4">
        <w:rPr>
          <w:rFonts w:ascii="Tahoma" w:hAnsi="Tahoma" w:cs="Tahoma"/>
          <w:noProof/>
          <w:sz w:val="21"/>
          <w:szCs w:val="21"/>
        </w:rPr>
        <w:t>Zhotovitel se zavazuje zpracovat projektovou dokumentaci v následujících stupních:</w:t>
      </w:r>
    </w:p>
    <w:p w14:paraId="2BCAEBB5" w14:textId="77777777" w:rsidR="002974DA" w:rsidRPr="000008E4" w:rsidRDefault="002974DA" w:rsidP="002974DA">
      <w:pPr>
        <w:suppressAutoHyphens/>
        <w:ind w:left="709"/>
        <w:jc w:val="both"/>
        <w:rPr>
          <w:rFonts w:ascii="Tahoma" w:hAnsi="Tahoma" w:cs="Tahoma"/>
          <w:sz w:val="21"/>
          <w:szCs w:val="21"/>
        </w:rPr>
      </w:pPr>
    </w:p>
    <w:p w14:paraId="22C142B7" w14:textId="77777777" w:rsidR="002974DA" w:rsidRPr="000008E4" w:rsidRDefault="002974DA" w:rsidP="002974DA">
      <w:pPr>
        <w:keepNext/>
        <w:suppressAutoHyphens/>
        <w:autoSpaceDE w:val="0"/>
        <w:autoSpaceDN w:val="0"/>
        <w:adjustRightInd w:val="0"/>
        <w:ind w:right="-1"/>
        <w:rPr>
          <w:rFonts w:ascii="Tahoma" w:hAnsi="Tahoma" w:cs="Tahoma"/>
          <w:b/>
          <w:sz w:val="21"/>
          <w:szCs w:val="21"/>
        </w:rPr>
      </w:pPr>
      <w:r w:rsidRPr="000008E4">
        <w:rPr>
          <w:rFonts w:ascii="Tahoma" w:hAnsi="Tahoma" w:cs="Tahoma"/>
          <w:b/>
          <w:sz w:val="21"/>
          <w:szCs w:val="21"/>
        </w:rPr>
        <w:t>Projektová</w:t>
      </w:r>
      <w:r w:rsidRPr="000008E4">
        <w:rPr>
          <w:rFonts w:ascii="Tahoma" w:hAnsi="Tahoma" w:cs="Tahoma"/>
          <w:sz w:val="21"/>
          <w:szCs w:val="21"/>
        </w:rPr>
        <w:t xml:space="preserve"> </w:t>
      </w:r>
      <w:r w:rsidRPr="000008E4">
        <w:rPr>
          <w:rFonts w:ascii="Tahoma" w:hAnsi="Tahoma" w:cs="Tahoma"/>
          <w:b/>
          <w:sz w:val="21"/>
          <w:szCs w:val="21"/>
        </w:rPr>
        <w:t>dokumentace pro vydání povolení záměru</w:t>
      </w:r>
    </w:p>
    <w:p w14:paraId="27228C25" w14:textId="77777777" w:rsidR="002974DA" w:rsidRPr="000008E4" w:rsidRDefault="002974DA" w:rsidP="00384ADF">
      <w:pPr>
        <w:numPr>
          <w:ilvl w:val="1"/>
          <w:numId w:val="27"/>
        </w:numPr>
        <w:spacing w:after="120"/>
        <w:ind w:left="284" w:hanging="426"/>
        <w:contextualSpacing/>
        <w:jc w:val="both"/>
        <w:rPr>
          <w:rFonts w:ascii="Tahoma" w:hAnsi="Tahoma" w:cs="Tahoma"/>
          <w:sz w:val="21"/>
          <w:szCs w:val="21"/>
        </w:rPr>
      </w:pPr>
      <w:r w:rsidRPr="000008E4">
        <w:rPr>
          <w:rFonts w:ascii="Tahoma" w:hAnsi="Tahoma" w:cs="Tahoma"/>
          <w:sz w:val="21"/>
          <w:szCs w:val="21"/>
        </w:rPr>
        <w:t>Projektová dokumentace ve stupni pro vydání povolení záměru bude zpracována v rozsahu odpovídajícím:</w:t>
      </w:r>
    </w:p>
    <w:p w14:paraId="5A6002EA" w14:textId="77777777"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lastRenderedPageBreak/>
        <w:t xml:space="preserve">zákonným požadavkům zákona </w:t>
      </w:r>
      <w:bookmarkStart w:id="0" w:name="_Hlk164924406"/>
      <w:r w:rsidRPr="000008E4">
        <w:rPr>
          <w:rFonts w:ascii="Tahoma" w:hAnsi="Tahoma" w:cs="Tahoma"/>
          <w:sz w:val="21"/>
          <w:szCs w:val="21"/>
        </w:rPr>
        <w:t>č. 283/2021 Sb., stavební zákon, ve znění pozdějších předpisů a vyhláškou č. 131/2024 Sb., o dokumentaci staveb,</w:t>
      </w:r>
    </w:p>
    <w:bookmarkEnd w:id="0"/>
    <w:p w14:paraId="305CB2EF" w14:textId="77777777"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t>všem potřebným průzkumům, zkouškám, měření potřebnému pro zpracování projektové dokumentace,</w:t>
      </w:r>
    </w:p>
    <w:p w14:paraId="6AE2F3B2" w14:textId="77777777" w:rsidR="002974DA" w:rsidRPr="000008E4" w:rsidRDefault="002974DA" w:rsidP="00384ADF">
      <w:pPr>
        <w:keepNext/>
        <w:numPr>
          <w:ilvl w:val="0"/>
          <w:numId w:val="21"/>
        </w:numPr>
        <w:spacing w:after="0"/>
        <w:ind w:left="567" w:right="-1" w:hanging="284"/>
        <w:contextualSpacing/>
        <w:jc w:val="both"/>
        <w:rPr>
          <w:rFonts w:ascii="Tahoma" w:hAnsi="Tahoma" w:cs="Tahoma"/>
          <w:sz w:val="21"/>
          <w:szCs w:val="21"/>
        </w:rPr>
      </w:pPr>
      <w:r w:rsidRPr="000008E4">
        <w:rPr>
          <w:rFonts w:ascii="Tahoma" w:hAnsi="Tahoma" w:cs="Tahoma"/>
          <w:sz w:val="21"/>
          <w:szCs w:val="21"/>
        </w:rPr>
        <w:t xml:space="preserve">statickým výpočtům konstrukčních částí, určení příslušných norem ČSN, DIN a TKP, </w:t>
      </w:r>
    </w:p>
    <w:p w14:paraId="1FABE209" w14:textId="0001206B" w:rsidR="002974DA" w:rsidRPr="000008E4" w:rsidRDefault="002974DA" w:rsidP="00384ADF">
      <w:pPr>
        <w:numPr>
          <w:ilvl w:val="0"/>
          <w:numId w:val="21"/>
        </w:numPr>
        <w:ind w:left="567" w:hanging="283"/>
        <w:contextualSpacing/>
        <w:jc w:val="both"/>
        <w:rPr>
          <w:rFonts w:ascii="Tahoma" w:hAnsi="Tahoma" w:cs="Tahoma"/>
          <w:sz w:val="21"/>
          <w:szCs w:val="21"/>
        </w:rPr>
      </w:pPr>
      <w:r w:rsidRPr="000008E4">
        <w:rPr>
          <w:rFonts w:ascii="Tahoma" w:hAnsi="Tahoma" w:cs="Tahoma"/>
          <w:sz w:val="21"/>
          <w:szCs w:val="21"/>
        </w:rPr>
        <w:t>zásadám organizace výstavby, soupisu podmínek pro provádění stavby z hlediska zajištění bezpečnosti a ochrany zdraví při práci dle zákona č. 309/2006 Sb.</w:t>
      </w:r>
      <w:r w:rsidR="00C26B1E">
        <w:rPr>
          <w:rFonts w:ascii="Tahoma" w:hAnsi="Tahoma" w:cs="Tahoma"/>
          <w:sz w:val="21"/>
          <w:szCs w:val="21"/>
        </w:rPr>
        <w:t>, o</w:t>
      </w:r>
      <w:r w:rsidRPr="000008E4">
        <w:rPr>
          <w:rFonts w:ascii="Tahoma" w:hAnsi="Tahoma" w:cs="Tahoma"/>
          <w:sz w:val="21"/>
          <w:szCs w:val="21"/>
        </w:rPr>
        <w:t xml:space="preserve"> zajištění dalších podmínek bezpečnosti a ochrany zdraví při práci a nařízení vlády č. 591/2006 Sb. - zejména informace o bezpečnostních a zdravotních rizicích a požadavky na zpracování Plánu bezpečnosti a ochrany zdraví při práci na staveništi,</w:t>
      </w:r>
    </w:p>
    <w:p w14:paraId="6A105A12" w14:textId="77777777"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všem změnám a dodatkům k předložené dokumentaci, které budou vyžadovány veřejnoprávními orgány a subjekty v těchto řízeních dotčenými,</w:t>
      </w:r>
    </w:p>
    <w:p w14:paraId="105C4892" w14:textId="1F78A397"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 xml:space="preserve">propočtu celkových nákladů akce v členění na jednotlivé stavební objekty a provozní soubory zpracovaný použitím oceňovacích metod a cenových soustav vydávaných společnosti </w:t>
      </w:r>
      <w:r w:rsidR="00260E06">
        <w:rPr>
          <w:rFonts w:ascii="Tahoma" w:hAnsi="Tahoma" w:cs="Tahoma"/>
          <w:sz w:val="21"/>
          <w:szCs w:val="21"/>
        </w:rPr>
        <w:t xml:space="preserve">                  </w:t>
      </w:r>
      <w:r w:rsidRPr="000008E4">
        <w:rPr>
          <w:rFonts w:ascii="Tahoma" w:hAnsi="Tahoma" w:cs="Tahoma"/>
          <w:sz w:val="21"/>
          <w:szCs w:val="21"/>
        </w:rPr>
        <w:t xml:space="preserve">ÚRS CZ, a.s., se sídlem </w:t>
      </w:r>
      <w:proofErr w:type="gramStart"/>
      <w:r w:rsidRPr="000008E4">
        <w:rPr>
          <w:rFonts w:ascii="Tahoma" w:hAnsi="Tahoma" w:cs="Tahoma"/>
          <w:sz w:val="21"/>
          <w:szCs w:val="21"/>
        </w:rPr>
        <w:t>Praha - Malešice</w:t>
      </w:r>
      <w:proofErr w:type="gramEnd"/>
      <w:r w:rsidRPr="000008E4">
        <w:rPr>
          <w:rFonts w:ascii="Tahoma" w:hAnsi="Tahoma" w:cs="Tahoma"/>
          <w:sz w:val="21"/>
          <w:szCs w:val="21"/>
        </w:rPr>
        <w:t>, Tiskařská 257/10, PSČ 108 00, IČO 47115645 nebo RTS a.s. se sídlem Lazaretní 4038/13, Brno PSČ 615 00, IČO 25533843, včetně ostatních nákladů potřebných na přípravu a realizaci akce a uvedení stavby do provozu,</w:t>
      </w:r>
    </w:p>
    <w:p w14:paraId="3F58CF52" w14:textId="77777777" w:rsidR="002974DA" w:rsidRPr="000008E4" w:rsidRDefault="002974DA" w:rsidP="00384ADF">
      <w:pPr>
        <w:numPr>
          <w:ilvl w:val="0"/>
          <w:numId w:val="21"/>
        </w:numPr>
        <w:suppressAutoHyphens/>
        <w:spacing w:after="120"/>
        <w:ind w:left="567" w:hanging="283"/>
        <w:contextualSpacing/>
        <w:jc w:val="both"/>
        <w:rPr>
          <w:rFonts w:ascii="Tahoma" w:hAnsi="Tahoma" w:cs="Tahoma"/>
          <w:sz w:val="21"/>
          <w:szCs w:val="21"/>
        </w:rPr>
      </w:pPr>
      <w:r w:rsidRPr="000008E4">
        <w:rPr>
          <w:rFonts w:ascii="Tahoma" w:hAnsi="Tahoma" w:cs="Tahoma"/>
          <w:b/>
          <w:sz w:val="21"/>
          <w:szCs w:val="21"/>
        </w:rPr>
        <w:t>výkon inženýrské činnosti za účelem vydání povolení záměru</w:t>
      </w:r>
      <w:r w:rsidRPr="000008E4">
        <w:rPr>
          <w:rFonts w:ascii="Tahoma" w:hAnsi="Tahoma" w:cs="Tahoma"/>
          <w:sz w:val="21"/>
          <w:szCs w:val="21"/>
        </w:rPr>
        <w:t>, která bude vykonávána s cílem zajistit příslušná správní rozhodnutí a další doklady nutné pro vydání povolení záměru, která obsahuje:</w:t>
      </w:r>
    </w:p>
    <w:p w14:paraId="4D16652A"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zajištění příslušných správních rozhodnutí orgánů a subjektů, dotčených v budoucích správních řízeních ohledně realizace akce, které budou sloužit jako přílohy pro podání žádosti o povolení záměru, </w:t>
      </w:r>
    </w:p>
    <w:p w14:paraId="6F33D711"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vypracování všech dokladů, které budou sloužit jako přílohy k žádosti na povolení záměru,</w:t>
      </w:r>
    </w:p>
    <w:p w14:paraId="32CEAD13"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zabezpečení vyjádření všech účastníků správních řízení,</w:t>
      </w:r>
    </w:p>
    <w:p w14:paraId="3DD27C28"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zpracování žádosti na povolení záměru, předložení žádosti včetně příloh objednateli k podání na stavební úřad,</w:t>
      </w:r>
    </w:p>
    <w:p w14:paraId="4EF1E498" w14:textId="77777777" w:rsidR="002974DA" w:rsidRPr="000008E4" w:rsidRDefault="002974DA" w:rsidP="00384ADF">
      <w:pPr>
        <w:numPr>
          <w:ilvl w:val="0"/>
          <w:numId w:val="22"/>
        </w:numPr>
        <w:suppressAutoHyphens/>
        <w:ind w:left="1776"/>
        <w:contextualSpacing/>
        <w:jc w:val="both"/>
        <w:rPr>
          <w:rFonts w:ascii="Tahoma" w:hAnsi="Tahoma" w:cs="Tahoma"/>
          <w:sz w:val="21"/>
          <w:szCs w:val="21"/>
        </w:rPr>
      </w:pPr>
      <w:r w:rsidRPr="000008E4">
        <w:rPr>
          <w:rFonts w:ascii="Tahoma" w:hAnsi="Tahoma" w:cs="Tahoma"/>
          <w:sz w:val="21"/>
          <w:szCs w:val="21"/>
        </w:rPr>
        <w:t>zapracování všech požadavků stavebního úřadu, dotčených orgánů státní správy a subjektů dotčených správním řízením</w:t>
      </w:r>
      <w:r w:rsidRPr="000008E4">
        <w:rPr>
          <w:rFonts w:ascii="Tahoma" w:hAnsi="Tahoma" w:cs="Tahoma"/>
          <w:strike/>
          <w:sz w:val="21"/>
          <w:szCs w:val="21"/>
        </w:rPr>
        <w:t xml:space="preserve"> </w:t>
      </w:r>
      <w:r w:rsidRPr="000008E4">
        <w:rPr>
          <w:rFonts w:ascii="Tahoma" w:hAnsi="Tahoma" w:cs="Tahoma"/>
          <w:sz w:val="21"/>
          <w:szCs w:val="21"/>
        </w:rPr>
        <w:t>pro doplnění žádosti na povolení záměru a pro zabezpečení vydání povolení.</w:t>
      </w:r>
    </w:p>
    <w:p w14:paraId="700F3C22" w14:textId="77777777" w:rsidR="002974DA" w:rsidRPr="000008E4" w:rsidRDefault="002974DA" w:rsidP="002974DA">
      <w:pPr>
        <w:keepNext/>
        <w:suppressAutoHyphens/>
        <w:autoSpaceDE w:val="0"/>
        <w:autoSpaceDN w:val="0"/>
        <w:adjustRightInd w:val="0"/>
        <w:ind w:left="567"/>
        <w:rPr>
          <w:rFonts w:ascii="Tahoma" w:hAnsi="Tahoma" w:cs="Tahoma"/>
          <w:sz w:val="21"/>
          <w:szCs w:val="21"/>
        </w:rPr>
      </w:pPr>
      <w:r w:rsidRPr="000008E4">
        <w:rPr>
          <w:rFonts w:ascii="Tahoma" w:hAnsi="Tahoma" w:cs="Tahoma"/>
          <w:sz w:val="21"/>
          <w:szCs w:val="21"/>
        </w:rPr>
        <w:t xml:space="preserve">Výkon inženýrské činnosti bude </w:t>
      </w:r>
      <w:r w:rsidRPr="000008E4">
        <w:rPr>
          <w:rFonts w:ascii="Tahoma" w:hAnsi="Tahoma" w:cs="Tahoma"/>
          <w:noProof/>
          <w:sz w:val="21"/>
          <w:szCs w:val="21"/>
        </w:rPr>
        <w:t>zhotovitelem</w:t>
      </w:r>
      <w:r w:rsidRPr="000008E4">
        <w:rPr>
          <w:rFonts w:ascii="Tahoma" w:hAnsi="Tahoma" w:cs="Tahoma"/>
          <w:sz w:val="21"/>
          <w:szCs w:val="21"/>
        </w:rPr>
        <w:t xml:space="preserve"> jako příkazníkem realizován pro objednatele jako příkazce na základě k tomu udělené plné moci.</w:t>
      </w:r>
    </w:p>
    <w:p w14:paraId="1DF47F71" w14:textId="77777777" w:rsidR="002974DA" w:rsidRPr="000008E4" w:rsidRDefault="002974DA" w:rsidP="00384ADF">
      <w:pPr>
        <w:widowControl w:val="0"/>
        <w:numPr>
          <w:ilvl w:val="1"/>
          <w:numId w:val="26"/>
        </w:numPr>
        <w:suppressAutoHyphens/>
        <w:spacing w:after="120"/>
        <w:ind w:left="284" w:hanging="426"/>
        <w:contextualSpacing/>
        <w:jc w:val="both"/>
        <w:rPr>
          <w:rFonts w:ascii="Tahoma" w:hAnsi="Tahoma" w:cs="Tahoma"/>
          <w:sz w:val="21"/>
          <w:szCs w:val="21"/>
        </w:rPr>
      </w:pPr>
      <w:r w:rsidRPr="000008E4">
        <w:rPr>
          <w:rFonts w:ascii="Tahoma" w:hAnsi="Tahoma" w:cs="Tahoma"/>
          <w:b/>
          <w:sz w:val="21"/>
          <w:szCs w:val="21"/>
        </w:rPr>
        <w:t>Projektová dokumentace pro provádění stavby</w:t>
      </w:r>
      <w:r w:rsidRPr="000008E4">
        <w:rPr>
          <w:rFonts w:ascii="Tahoma" w:hAnsi="Tahoma" w:cs="Tahoma"/>
          <w:sz w:val="21"/>
          <w:szCs w:val="21"/>
        </w:rPr>
        <w:t xml:space="preserve"> </w:t>
      </w:r>
      <w:r w:rsidRPr="000008E4">
        <w:rPr>
          <w:rFonts w:ascii="Tahoma" w:hAnsi="Tahoma" w:cs="Tahoma"/>
          <w:b/>
          <w:sz w:val="21"/>
          <w:szCs w:val="21"/>
        </w:rPr>
        <w:t xml:space="preserve">(dále také DPS) včetně soupisu stavebních prací, dodávek a služeb s výkazem výměr </w:t>
      </w:r>
      <w:r w:rsidRPr="000008E4">
        <w:rPr>
          <w:rFonts w:ascii="Tahoma" w:hAnsi="Tahoma" w:cs="Tahoma"/>
          <w:sz w:val="21"/>
          <w:szCs w:val="21"/>
        </w:rPr>
        <w:t>v oceněné a neoceněné verzi.</w:t>
      </w:r>
    </w:p>
    <w:p w14:paraId="47C9CD8B" w14:textId="77777777" w:rsidR="002974DA" w:rsidRPr="000008E4" w:rsidRDefault="002974DA" w:rsidP="002974DA">
      <w:pPr>
        <w:widowControl w:val="0"/>
        <w:suppressAutoHyphens/>
        <w:spacing w:after="120"/>
        <w:ind w:left="567"/>
        <w:contextualSpacing/>
        <w:jc w:val="both"/>
        <w:rPr>
          <w:rFonts w:ascii="Tahoma" w:hAnsi="Tahoma" w:cs="Tahoma"/>
          <w:sz w:val="21"/>
          <w:szCs w:val="21"/>
        </w:rPr>
      </w:pPr>
    </w:p>
    <w:p w14:paraId="23DF2FE1" w14:textId="77777777"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z w:val="21"/>
          <w:szCs w:val="21"/>
        </w:rPr>
      </w:pPr>
      <w:r w:rsidRPr="000008E4">
        <w:rPr>
          <w:rFonts w:ascii="Tahoma" w:hAnsi="Tahoma" w:cs="Tahoma"/>
          <w:sz w:val="21"/>
          <w:szCs w:val="21"/>
        </w:rPr>
        <w:t>Projektová dokumentace bude zpracována v rozsahu vyhlášky č. 131/2024 Sb., o dokumentaci staveb, v platném znění, podle zákona č. 283/2021 Sb., stavební zákon, ve znění pozdějších předpisů.</w:t>
      </w:r>
    </w:p>
    <w:p w14:paraId="443C912C" w14:textId="77777777"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trike/>
          <w:sz w:val="21"/>
          <w:szCs w:val="21"/>
        </w:rPr>
      </w:pPr>
      <w:r w:rsidRPr="000008E4">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a soupisu stavebních prací, dodávek a služeb s výkazem výměr.</w:t>
      </w:r>
    </w:p>
    <w:p w14:paraId="629A14EE" w14:textId="77777777" w:rsidR="002974DA" w:rsidRPr="000008E4" w:rsidRDefault="002974DA" w:rsidP="002974DA">
      <w:pPr>
        <w:widowControl w:val="0"/>
        <w:suppressAutoHyphens/>
        <w:ind w:left="567"/>
        <w:jc w:val="both"/>
        <w:rPr>
          <w:rFonts w:ascii="Tahoma" w:hAnsi="Tahoma" w:cs="Tahoma"/>
          <w:sz w:val="21"/>
          <w:szCs w:val="21"/>
        </w:rPr>
      </w:pPr>
    </w:p>
    <w:p w14:paraId="4C21E765" w14:textId="77777777" w:rsidR="002974DA" w:rsidRPr="000008E4" w:rsidRDefault="002974DA" w:rsidP="002974DA">
      <w:pPr>
        <w:widowControl w:val="0"/>
        <w:suppressAutoHyphens/>
        <w:jc w:val="both"/>
        <w:rPr>
          <w:rFonts w:ascii="Tahoma" w:hAnsi="Tahoma" w:cs="Tahoma"/>
          <w:sz w:val="21"/>
          <w:szCs w:val="21"/>
        </w:rPr>
      </w:pPr>
      <w:r w:rsidRPr="000008E4">
        <w:rPr>
          <w:rFonts w:ascii="Tahoma" w:hAnsi="Tahoma" w:cs="Tahoma"/>
          <w:sz w:val="21"/>
          <w:szCs w:val="21"/>
        </w:rPr>
        <w:t xml:space="preserve">  3.2.1     Položka podrobné části soupisu prací musí obsahovat minimálně: </w:t>
      </w:r>
    </w:p>
    <w:p w14:paraId="43D452F5"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pořadové číslo položky,</w:t>
      </w:r>
    </w:p>
    <w:p w14:paraId="437F5141"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číselné zatřídění položky, pokud je možné danou položku zatřídit,</w:t>
      </w:r>
    </w:p>
    <w:p w14:paraId="065CF2B3"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popis položky jednoznačně vymezující druh a kvalitu prací nebo dodávek,</w:t>
      </w:r>
    </w:p>
    <w:p w14:paraId="36D76677"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veličinu v jaké jsou uváděny měrné jednotky,</w:t>
      </w:r>
    </w:p>
    <w:p w14:paraId="0082A7DE"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počet měrných jednotek</w:t>
      </w:r>
    </w:p>
    <w:p w14:paraId="2F6EB1D0"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označení použité cenové soustavy</w:t>
      </w:r>
    </w:p>
    <w:p w14:paraId="44A83AF3" w14:textId="77777777" w:rsidR="002974DA" w:rsidRPr="000008E4" w:rsidRDefault="002974DA" w:rsidP="002974DA">
      <w:pPr>
        <w:ind w:left="993"/>
        <w:jc w:val="both"/>
        <w:rPr>
          <w:rFonts w:ascii="Tahoma" w:hAnsi="Tahoma" w:cs="Tahoma"/>
          <w:sz w:val="21"/>
          <w:szCs w:val="21"/>
        </w:rPr>
      </w:pPr>
      <w:r w:rsidRPr="000008E4">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Soupis stavebních prací, dodávek a služeb s výkazem výměr a údaje, technické požadavky a podmínky nezbytné pro zpracování nabídky – v rámci zadávací dokumentace na realizaci stavby budou sestaveny:</w:t>
      </w:r>
    </w:p>
    <w:p w14:paraId="04EA5F13" w14:textId="77777777" w:rsidR="002974DA" w:rsidRPr="000008E4" w:rsidRDefault="002974DA" w:rsidP="002974DA">
      <w:pPr>
        <w:tabs>
          <w:tab w:val="left" w:pos="1134"/>
        </w:tabs>
        <w:ind w:left="1418"/>
        <w:contextualSpacing/>
        <w:jc w:val="both"/>
        <w:rPr>
          <w:rFonts w:ascii="Tahoma" w:hAnsi="Tahoma" w:cs="Tahoma"/>
          <w:sz w:val="21"/>
          <w:szCs w:val="21"/>
        </w:rPr>
      </w:pPr>
    </w:p>
    <w:p w14:paraId="2E4E0F28" w14:textId="77777777" w:rsidR="002974DA" w:rsidRPr="000008E4" w:rsidRDefault="002974DA" w:rsidP="002974DA">
      <w:pPr>
        <w:numPr>
          <w:ilvl w:val="0"/>
          <w:numId w:val="14"/>
        </w:numPr>
        <w:ind w:left="1276" w:hanging="284"/>
        <w:contextualSpacing/>
        <w:jc w:val="both"/>
        <w:rPr>
          <w:rFonts w:ascii="Tahoma" w:hAnsi="Tahoma" w:cs="Tahoma"/>
          <w:sz w:val="21"/>
          <w:szCs w:val="21"/>
        </w:rPr>
      </w:pPr>
      <w:r w:rsidRPr="000008E4">
        <w:rPr>
          <w:rFonts w:ascii="Tahoma" w:hAnsi="Tahoma" w:cs="Tahoma"/>
          <w:sz w:val="21"/>
          <w:szCs w:val="21"/>
        </w:rPr>
        <w:t>V oceněném vyhotovení soupisu prací, dodávek a služeb včetně výkazu výměr se soupisem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ÚRS CZ, a.s., se sídlem Praha - Malešice, Tiskařská 257/10, PSČ 108 00, IČO 47115645 v příslušné cenové úrovni (s min. aktualizací pro rok 2024).</w:t>
      </w:r>
    </w:p>
    <w:p w14:paraId="03A82E4D" w14:textId="77777777" w:rsidR="002974DA" w:rsidRPr="000008E4" w:rsidRDefault="002974DA" w:rsidP="002974DA">
      <w:pPr>
        <w:ind w:left="1776"/>
        <w:contextualSpacing/>
        <w:jc w:val="both"/>
        <w:rPr>
          <w:rFonts w:ascii="Tahoma" w:hAnsi="Tahoma" w:cs="Tahoma"/>
          <w:sz w:val="21"/>
          <w:szCs w:val="21"/>
        </w:rPr>
      </w:pPr>
    </w:p>
    <w:p w14:paraId="6604FF5C"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14:paraId="68C55FE2" w14:textId="77777777" w:rsidR="002974DA" w:rsidRPr="000008E4" w:rsidRDefault="002974DA" w:rsidP="002974DA">
      <w:pPr>
        <w:ind w:left="720"/>
        <w:contextualSpacing/>
        <w:rPr>
          <w:rFonts w:ascii="Tahoma" w:hAnsi="Tahoma" w:cs="Tahoma"/>
          <w:sz w:val="21"/>
          <w:szCs w:val="21"/>
        </w:rPr>
      </w:pPr>
    </w:p>
    <w:p w14:paraId="76FC5DC7"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 stavby.</w:t>
      </w:r>
    </w:p>
    <w:p w14:paraId="4AA6A516" w14:textId="77777777" w:rsidR="002974DA" w:rsidRPr="000008E4" w:rsidRDefault="002974DA" w:rsidP="002974DA">
      <w:pPr>
        <w:ind w:left="720"/>
        <w:contextualSpacing/>
        <w:rPr>
          <w:rFonts w:ascii="Tahoma" w:hAnsi="Tahoma" w:cs="Tahoma"/>
          <w:sz w:val="21"/>
          <w:szCs w:val="21"/>
        </w:rPr>
      </w:pPr>
    </w:p>
    <w:p w14:paraId="76181854"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Položkový rozpočet bude členěn dle stavebních oddílů a objektů tak, aby bylo možné provést rozdělení jednotlivých položek na položky investičního charakteru (rozdělené na hmotný a nehmotný majetek) a na položky neinvestičního charakteru. Zhotovitel </w:t>
      </w:r>
      <w:r w:rsidRPr="000008E4">
        <w:rPr>
          <w:rFonts w:ascii="Tahoma" w:hAnsi="Tahoma" w:cs="Tahoma"/>
          <w:sz w:val="21"/>
          <w:szCs w:val="21"/>
        </w:rPr>
        <w:lastRenderedPageBreak/>
        <w:t xml:space="preserve">poskytne součinnost při rozdělení položkového rozpočtu dle účetního charakteru jednotlivých položek z důvodu jejich budoucího zatřízení do majetku města.  </w:t>
      </w:r>
    </w:p>
    <w:p w14:paraId="156A3878" w14:textId="77777777" w:rsidR="002974DA" w:rsidRPr="000008E4" w:rsidRDefault="002974DA" w:rsidP="002974DA">
      <w:pPr>
        <w:ind w:left="720"/>
        <w:contextualSpacing/>
        <w:rPr>
          <w:rFonts w:ascii="Tahoma" w:hAnsi="Tahoma" w:cs="Tahoma"/>
          <w:sz w:val="21"/>
          <w:szCs w:val="21"/>
        </w:rPr>
      </w:pPr>
    </w:p>
    <w:p w14:paraId="27050114"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Nebude-li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14:paraId="06071990" w14:textId="77777777" w:rsidR="002974DA" w:rsidRPr="000008E4" w:rsidRDefault="002974DA" w:rsidP="002974DA">
      <w:pPr>
        <w:ind w:left="720"/>
        <w:contextualSpacing/>
        <w:rPr>
          <w:rFonts w:ascii="Tahoma" w:hAnsi="Tahoma" w:cs="Tahoma"/>
          <w:sz w:val="21"/>
          <w:szCs w:val="21"/>
        </w:rPr>
      </w:pPr>
    </w:p>
    <w:p w14:paraId="596C4CC1" w14:textId="77777777" w:rsidR="002974DA" w:rsidRPr="000008E4" w:rsidRDefault="002974DA" w:rsidP="002974DA">
      <w:pPr>
        <w:tabs>
          <w:tab w:val="left" w:pos="2445"/>
        </w:tabs>
        <w:suppressAutoHyphens/>
        <w:ind w:left="1004"/>
        <w:contextualSpacing/>
        <w:jc w:val="both"/>
        <w:rPr>
          <w:rFonts w:ascii="Tahoma" w:hAnsi="Tahoma" w:cs="Tahoma"/>
          <w:sz w:val="21"/>
          <w:szCs w:val="21"/>
        </w:rPr>
      </w:pPr>
      <w:r w:rsidRPr="000008E4">
        <w:rPr>
          <w:rFonts w:ascii="Tahoma" w:hAnsi="Tahoma" w:cs="Tahoma"/>
          <w:sz w:val="21"/>
          <w:szCs w:val="21"/>
        </w:rPr>
        <w:tab/>
      </w:r>
    </w:p>
    <w:p w14:paraId="2AC95EBB" w14:textId="77777777" w:rsidR="002974DA" w:rsidRDefault="002974DA" w:rsidP="00384ADF">
      <w:pPr>
        <w:widowControl w:val="0"/>
        <w:numPr>
          <w:ilvl w:val="2"/>
          <w:numId w:val="28"/>
        </w:numPr>
        <w:suppressAutoHyphens/>
        <w:ind w:left="567" w:hanging="567"/>
        <w:contextualSpacing/>
        <w:jc w:val="both"/>
        <w:rPr>
          <w:rFonts w:ascii="Tahoma" w:hAnsi="Tahoma" w:cs="Tahoma"/>
          <w:sz w:val="21"/>
          <w:szCs w:val="21"/>
        </w:rPr>
      </w:pPr>
      <w:r w:rsidRPr="000008E4">
        <w:rPr>
          <w:rFonts w:ascii="Tahoma" w:hAnsi="Tahoma" w:cs="Tahoma"/>
          <w:sz w:val="21"/>
          <w:szCs w:val="21"/>
        </w:rPr>
        <w:t>Součástí zpracování projektové dokumentace pro provádění stavby je dále součinnost zhotovitele v rámci zadávacích řízení k realizaci veřejných zakázek navazujících na předmět plnění dle této smlouvy v podobě:</w:t>
      </w:r>
    </w:p>
    <w:p w14:paraId="0A4404E1" w14:textId="77777777" w:rsidR="002974DA" w:rsidRDefault="002974DA" w:rsidP="002974DA">
      <w:pPr>
        <w:widowControl w:val="0"/>
        <w:suppressAutoHyphens/>
        <w:ind w:left="567"/>
        <w:contextualSpacing/>
        <w:jc w:val="both"/>
        <w:rPr>
          <w:rFonts w:ascii="Tahoma" w:hAnsi="Tahoma" w:cs="Tahoma"/>
          <w:sz w:val="21"/>
          <w:szCs w:val="21"/>
        </w:rPr>
      </w:pPr>
    </w:p>
    <w:p w14:paraId="10A2461D" w14:textId="1B35A495" w:rsidR="002974DA" w:rsidRPr="000008E4" w:rsidRDefault="002974DA" w:rsidP="00384ADF">
      <w:pPr>
        <w:numPr>
          <w:ilvl w:val="0"/>
          <w:numId w:val="20"/>
        </w:numPr>
        <w:contextualSpacing/>
        <w:jc w:val="both"/>
        <w:rPr>
          <w:rFonts w:ascii="Tahoma" w:hAnsi="Tahoma" w:cs="Tahoma"/>
          <w:sz w:val="21"/>
          <w:szCs w:val="21"/>
        </w:rPr>
      </w:pPr>
      <w:r w:rsidRPr="000008E4">
        <w:rPr>
          <w:rFonts w:ascii="Tahoma" w:hAnsi="Tahoma" w:cs="Tahoma"/>
          <w:sz w:val="21"/>
          <w:szCs w:val="21"/>
        </w:rPr>
        <w:t xml:space="preserve">zpracování odpovědí na dotazy k projektové části zadávací dokumentace v rámci vyjasňování zadávací dokumentace zájemcům o veřejnou zakázku, a to ve lhůtě do </w:t>
      </w:r>
      <w:r w:rsidR="00260E06">
        <w:rPr>
          <w:rFonts w:ascii="Tahoma" w:hAnsi="Tahoma" w:cs="Tahoma"/>
          <w:sz w:val="21"/>
          <w:szCs w:val="21"/>
        </w:rPr>
        <w:t xml:space="preserve">          </w:t>
      </w:r>
      <w:r w:rsidRPr="000008E4">
        <w:rPr>
          <w:rFonts w:ascii="Tahoma" w:hAnsi="Tahoma" w:cs="Tahoma"/>
          <w:sz w:val="21"/>
          <w:szCs w:val="21"/>
        </w:rPr>
        <w:t xml:space="preserve">2 dnů po jejich obdržení. </w:t>
      </w:r>
    </w:p>
    <w:p w14:paraId="3C6876CA" w14:textId="77777777" w:rsidR="002974DA" w:rsidRPr="000008E4" w:rsidRDefault="002974DA" w:rsidP="002974DA">
      <w:pPr>
        <w:ind w:left="1211"/>
        <w:contextualSpacing/>
        <w:jc w:val="both"/>
        <w:rPr>
          <w:rFonts w:ascii="Tahoma" w:hAnsi="Tahoma" w:cs="Tahoma"/>
          <w:sz w:val="21"/>
          <w:szCs w:val="21"/>
        </w:rPr>
      </w:pPr>
    </w:p>
    <w:p w14:paraId="0EA1FC53" w14:textId="1E167F09"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b/>
          <w:sz w:val="21"/>
          <w:szCs w:val="21"/>
        </w:rPr>
        <w:t>Výkon dozoru</w:t>
      </w:r>
      <w:r w:rsidR="00E346E6">
        <w:rPr>
          <w:rFonts w:ascii="Tahoma" w:hAnsi="Tahoma" w:cs="Tahoma"/>
          <w:b/>
          <w:sz w:val="21"/>
          <w:szCs w:val="21"/>
        </w:rPr>
        <w:t xml:space="preserve"> projektanta</w:t>
      </w:r>
      <w:r w:rsidRPr="000008E4">
        <w:rPr>
          <w:rFonts w:ascii="Tahoma" w:hAnsi="Tahoma" w:cs="Tahoma"/>
          <w:b/>
          <w:sz w:val="21"/>
          <w:szCs w:val="21"/>
        </w:rPr>
        <w:t xml:space="preserve"> (dále také D</w:t>
      </w:r>
      <w:r w:rsidR="00E346E6">
        <w:rPr>
          <w:rFonts w:ascii="Tahoma" w:hAnsi="Tahoma" w:cs="Tahoma"/>
          <w:b/>
          <w:sz w:val="21"/>
          <w:szCs w:val="21"/>
        </w:rPr>
        <w:t>P</w:t>
      </w:r>
      <w:r w:rsidRPr="000008E4">
        <w:rPr>
          <w:rFonts w:ascii="Tahoma" w:hAnsi="Tahoma" w:cs="Tahoma"/>
          <w:b/>
          <w:sz w:val="21"/>
          <w:szCs w:val="21"/>
        </w:rPr>
        <w:t>)</w:t>
      </w:r>
    </w:p>
    <w:p w14:paraId="7759C6ED" w14:textId="28FB54FF" w:rsidR="002974DA" w:rsidRPr="000008E4" w:rsidRDefault="00E346E6" w:rsidP="002974DA">
      <w:pPr>
        <w:autoSpaceDE w:val="0"/>
        <w:autoSpaceDN w:val="0"/>
        <w:adjustRightInd w:val="0"/>
        <w:ind w:left="426"/>
        <w:contextualSpacing/>
        <w:jc w:val="both"/>
        <w:rPr>
          <w:rFonts w:ascii="Tahoma" w:hAnsi="Tahoma" w:cs="Tahoma"/>
          <w:sz w:val="21"/>
          <w:szCs w:val="21"/>
        </w:rPr>
      </w:pPr>
      <w:r>
        <w:rPr>
          <w:rFonts w:ascii="Tahoma" w:hAnsi="Tahoma" w:cs="Tahoma"/>
          <w:sz w:val="21"/>
          <w:szCs w:val="21"/>
        </w:rPr>
        <w:t>D</w:t>
      </w:r>
      <w:r w:rsidR="002974DA" w:rsidRPr="000008E4">
        <w:rPr>
          <w:rFonts w:ascii="Tahoma" w:hAnsi="Tahoma" w:cs="Tahoma"/>
          <w:sz w:val="21"/>
          <w:szCs w:val="21"/>
        </w:rPr>
        <w:t>ozor</w:t>
      </w:r>
      <w:r>
        <w:rPr>
          <w:rFonts w:ascii="Tahoma" w:hAnsi="Tahoma" w:cs="Tahoma"/>
          <w:sz w:val="21"/>
          <w:szCs w:val="21"/>
        </w:rPr>
        <w:t xml:space="preserve"> projektanta</w:t>
      </w:r>
      <w:r w:rsidR="002974DA" w:rsidRPr="000008E4">
        <w:rPr>
          <w:rFonts w:ascii="Tahoma" w:hAnsi="Tahoma" w:cs="Tahoma"/>
          <w:sz w:val="21"/>
          <w:szCs w:val="21"/>
        </w:rPr>
        <w:t xml:space="preserve"> je zhotovitel povinen vykonávat po celou dobu realizace stavby samostatně. Výkon dozoru</w:t>
      </w:r>
      <w:r>
        <w:rPr>
          <w:rFonts w:ascii="Tahoma" w:hAnsi="Tahoma" w:cs="Tahoma"/>
          <w:sz w:val="21"/>
          <w:szCs w:val="21"/>
        </w:rPr>
        <w:t xml:space="preserve"> projektanta</w:t>
      </w:r>
      <w:r w:rsidR="002974DA" w:rsidRPr="000008E4">
        <w:rPr>
          <w:rFonts w:ascii="Tahoma" w:hAnsi="Tahoma" w:cs="Tahoma"/>
          <w:sz w:val="21"/>
          <w:szCs w:val="21"/>
        </w:rPr>
        <w:t xml:space="preserve"> a technické pomoci bude zhotovitel povinen provádět po celou dobu realizace samotné stavby dle projektové dokumentace zhotovené zhotovitelem dle této smlouvy. Výkonem dozoru</w:t>
      </w:r>
      <w:r>
        <w:rPr>
          <w:rFonts w:ascii="Tahoma" w:hAnsi="Tahoma" w:cs="Tahoma"/>
          <w:sz w:val="21"/>
          <w:szCs w:val="21"/>
        </w:rPr>
        <w:t xml:space="preserve"> projektanta</w:t>
      </w:r>
      <w:r w:rsidR="002974DA" w:rsidRPr="000008E4">
        <w:rPr>
          <w:rFonts w:ascii="Tahoma" w:hAnsi="Tahoma" w:cs="Tahoma"/>
          <w:sz w:val="21"/>
          <w:szCs w:val="21"/>
        </w:rPr>
        <w:t xml:space="preserve">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autorský dozor minimálně v níže uvedeném rozsahu:</w:t>
      </w:r>
    </w:p>
    <w:p w14:paraId="4A317CF1" w14:textId="77777777" w:rsidR="002974DA" w:rsidRPr="000008E4" w:rsidRDefault="002974DA" w:rsidP="002974DA">
      <w:pPr>
        <w:autoSpaceDE w:val="0"/>
        <w:autoSpaceDN w:val="0"/>
        <w:adjustRightInd w:val="0"/>
        <w:ind w:left="284"/>
        <w:contextualSpacing/>
        <w:jc w:val="both"/>
        <w:rPr>
          <w:rFonts w:ascii="Tahoma" w:hAnsi="Tahoma" w:cs="Tahoma"/>
          <w:sz w:val="21"/>
          <w:szCs w:val="21"/>
        </w:rPr>
      </w:pPr>
    </w:p>
    <w:p w14:paraId="6792F35A"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 souvislosti s realizací stavby poskytování konzultací a odborných doporučení </w:t>
      </w:r>
      <w:r w:rsidRPr="000008E4">
        <w:rPr>
          <w:rFonts w:ascii="Tahoma" w:hAnsi="Tahoma" w:cs="Tahoma"/>
          <w:sz w:val="21"/>
          <w:szCs w:val="21"/>
        </w:rPr>
        <w:br/>
        <w:t>na žádost objednatele ve lhůtě stanovené objednatelem,</w:t>
      </w:r>
    </w:p>
    <w:p w14:paraId="0B8EC0AE" w14:textId="4CF87AA0"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D</w:t>
      </w:r>
      <w:r w:rsidR="00E346E6">
        <w:rPr>
          <w:rFonts w:ascii="Tahoma" w:hAnsi="Tahoma" w:cs="Tahoma"/>
          <w:sz w:val="21"/>
          <w:szCs w:val="21"/>
        </w:rPr>
        <w:t>P</w:t>
      </w:r>
      <w:r w:rsidRPr="000008E4">
        <w:rPr>
          <w:rFonts w:ascii="Tahoma" w:hAnsi="Tahoma" w:cs="Tahoma"/>
          <w:sz w:val="21"/>
          <w:szCs w:val="21"/>
        </w:rPr>
        <w:t xml:space="preserve"> nad dodržováním projektové dokumentace s přihlédnutím na podmínky určené stavebním povolením,</w:t>
      </w:r>
    </w:p>
    <w:p w14:paraId="7E8285C9"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vyjadřovat se ke změnám a odchylkám od projektové dokumentace při provádění stavby, posuzování těchto změn z hlediska dodržení </w:t>
      </w:r>
      <w:proofErr w:type="spellStart"/>
      <w:r w:rsidRPr="000008E4">
        <w:rPr>
          <w:rFonts w:ascii="Tahoma" w:hAnsi="Tahoma" w:cs="Tahoma"/>
          <w:sz w:val="21"/>
          <w:szCs w:val="21"/>
        </w:rPr>
        <w:t>technicko</w:t>
      </w:r>
      <w:proofErr w:type="spellEnd"/>
      <w:r w:rsidRPr="000008E4">
        <w:rPr>
          <w:rFonts w:ascii="Tahoma" w:hAnsi="Tahoma" w:cs="Tahoma"/>
          <w:sz w:val="21"/>
          <w:szCs w:val="21"/>
        </w:rPr>
        <w:t xml:space="preserve"> – ekonomických parametrů stavby, dodržením lhůt výstavby, případně dalších údajů a </w:t>
      </w:r>
      <w:proofErr w:type="gramStart"/>
      <w:r w:rsidRPr="000008E4">
        <w:rPr>
          <w:rFonts w:ascii="Tahoma" w:hAnsi="Tahoma" w:cs="Tahoma"/>
          <w:sz w:val="21"/>
          <w:szCs w:val="21"/>
        </w:rPr>
        <w:t>ukazatelů - provádí</w:t>
      </w:r>
      <w:proofErr w:type="gramEnd"/>
      <w:r w:rsidRPr="000008E4">
        <w:rPr>
          <w:rFonts w:ascii="Tahoma" w:hAnsi="Tahoma" w:cs="Tahoma"/>
          <w:sz w:val="21"/>
          <w:szCs w:val="21"/>
        </w:rPr>
        <w:t xml:space="preserve"> na žádost objednatele zpravidla zápisem do stavebního deníku, </w:t>
      </w:r>
    </w:p>
    <w:p w14:paraId="70536129"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zkouškách (i na komplexním vyzkoušení) a měřeních včetně vydání stanovisek k výsledkům – na výzvu objednatele,</w:t>
      </w:r>
    </w:p>
    <w:p w14:paraId="49C34686"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projednání a schvalování programu komplexního vyzkoušení navrženého zhotovitelem stavby,</w:t>
      </w:r>
    </w:p>
    <w:p w14:paraId="63755A6B"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lastRenderedPageBreak/>
        <w:t>spolupráce při výběru a schvalování materiálů, zařízení a vybavení navrhovaných zhotovitelem stavby,</w:t>
      </w:r>
    </w:p>
    <w:p w14:paraId="281AAF9C"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p>
    <w:p w14:paraId="22CFCD5D"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se zhotovitelem stavby, technickým dozorem objednatele, a v součinnosti s nimi, s příslušnými orgány státní správy, účast na kontrolních dnech,</w:t>
      </w:r>
    </w:p>
    <w:p w14:paraId="19062C86"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předání a převzetí stavebního díla a na kolaudačním řízení.</w:t>
      </w:r>
    </w:p>
    <w:p w14:paraId="1CE6CBF3" w14:textId="77777777" w:rsidR="002974DA" w:rsidRPr="000008E4" w:rsidRDefault="002974DA" w:rsidP="002974DA">
      <w:pPr>
        <w:autoSpaceDE w:val="0"/>
        <w:autoSpaceDN w:val="0"/>
        <w:adjustRightInd w:val="0"/>
        <w:ind w:left="708"/>
        <w:jc w:val="both"/>
        <w:rPr>
          <w:rFonts w:ascii="Tahoma" w:hAnsi="Tahoma" w:cs="Tahoma"/>
          <w:sz w:val="21"/>
          <w:szCs w:val="21"/>
        </w:rPr>
      </w:pPr>
      <w:r w:rsidRPr="000008E4">
        <w:rPr>
          <w:rFonts w:ascii="Tahoma" w:hAnsi="Tahoma" w:cs="Tahoma"/>
          <w:sz w:val="21"/>
          <w:szCs w:val="21"/>
        </w:rPr>
        <w:t>Za výkon autorského dozoru se nepovažuje průběžné odstraňování vad projektové dokumentace reklamované objednatelem způsobem dle ujednání v této smlouvě.</w:t>
      </w:r>
    </w:p>
    <w:p w14:paraId="5D2AF6C0" w14:textId="77777777" w:rsidR="002974DA" w:rsidRPr="000008E4" w:rsidRDefault="002974DA" w:rsidP="002974DA">
      <w:pPr>
        <w:autoSpaceDE w:val="0"/>
        <w:autoSpaceDN w:val="0"/>
        <w:adjustRightInd w:val="0"/>
        <w:ind w:left="284"/>
        <w:contextualSpacing/>
        <w:jc w:val="both"/>
        <w:rPr>
          <w:rFonts w:ascii="Tahoma" w:hAnsi="Tahoma" w:cs="Tahoma"/>
          <w:sz w:val="21"/>
          <w:szCs w:val="21"/>
        </w:rPr>
      </w:pPr>
    </w:p>
    <w:p w14:paraId="54491CE8" w14:textId="77777777"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 xml:space="preserve">Součástí plnění dle této smlouvy je rovněž prezentace a obhajoba díla, jeho částí (DSP, DPS) před </w:t>
      </w:r>
      <w:r w:rsidRPr="000008E4">
        <w:rPr>
          <w:rFonts w:ascii="Tahoma" w:hAnsi="Tahoma" w:cs="Tahoma"/>
          <w:b/>
          <w:sz w:val="21"/>
          <w:szCs w:val="21"/>
        </w:rPr>
        <w:t>orgány</w:t>
      </w:r>
      <w:r w:rsidRPr="000008E4">
        <w:rPr>
          <w:rFonts w:ascii="Tahoma" w:hAnsi="Tahoma" w:cs="Tahoma"/>
          <w:sz w:val="21"/>
          <w:szCs w:val="21"/>
        </w:rPr>
        <w:t xml:space="preserve">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14:paraId="13E6E579" w14:textId="77777777" w:rsidR="002974DA" w:rsidRPr="000008E4" w:rsidRDefault="002974DA" w:rsidP="002974DA">
      <w:pPr>
        <w:autoSpaceDE w:val="0"/>
        <w:autoSpaceDN w:val="0"/>
        <w:adjustRightInd w:val="0"/>
        <w:ind w:left="720"/>
        <w:contextualSpacing/>
        <w:jc w:val="both"/>
        <w:rPr>
          <w:rFonts w:ascii="Tahoma" w:hAnsi="Tahoma" w:cs="Tahoma"/>
          <w:sz w:val="21"/>
          <w:szCs w:val="21"/>
        </w:rPr>
      </w:pPr>
    </w:p>
    <w:p w14:paraId="1BFE09BB" w14:textId="77777777"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nemůže se v budoucnu dovolávat toho, že příslušný stupeň projektové dokumentace byl objednatelem převzat bez jakýchkoliv výhrad.</w:t>
      </w:r>
    </w:p>
    <w:p w14:paraId="7BC81C4D" w14:textId="77777777" w:rsidR="002974DA" w:rsidRPr="000008E4" w:rsidRDefault="002974DA" w:rsidP="002974DA">
      <w:pPr>
        <w:ind w:left="720"/>
        <w:contextualSpacing/>
        <w:rPr>
          <w:rFonts w:ascii="Tahoma" w:hAnsi="Tahoma" w:cs="Tahoma"/>
          <w:sz w:val="21"/>
          <w:szCs w:val="21"/>
        </w:rPr>
      </w:pPr>
    </w:p>
    <w:p w14:paraId="46F2C037" w14:textId="77777777" w:rsidR="002974DA" w:rsidRPr="000008E4" w:rsidRDefault="002974DA" w:rsidP="002974DA">
      <w:pPr>
        <w:ind w:left="720"/>
        <w:contextualSpacing/>
        <w:rPr>
          <w:rFonts w:ascii="Tahoma" w:hAnsi="Tahoma" w:cs="Tahoma"/>
          <w:sz w:val="21"/>
          <w:szCs w:val="21"/>
        </w:rPr>
      </w:pPr>
    </w:p>
    <w:p w14:paraId="69C4DCC3" w14:textId="77777777" w:rsidR="002974DA" w:rsidRPr="000008E4" w:rsidRDefault="002974DA" w:rsidP="00384ADF">
      <w:pPr>
        <w:numPr>
          <w:ilvl w:val="0"/>
          <w:numId w:val="28"/>
        </w:numPr>
        <w:autoSpaceDE w:val="0"/>
        <w:autoSpaceDN w:val="0"/>
        <w:adjustRightInd w:val="0"/>
        <w:ind w:left="426" w:hanging="426"/>
        <w:contextualSpacing/>
        <w:jc w:val="both"/>
        <w:rPr>
          <w:rFonts w:ascii="Tahoma" w:hAnsi="Tahoma" w:cs="Tahoma"/>
          <w:b/>
          <w:sz w:val="21"/>
          <w:szCs w:val="21"/>
        </w:rPr>
      </w:pPr>
      <w:r w:rsidRPr="000008E4">
        <w:rPr>
          <w:rFonts w:ascii="Tahoma" w:hAnsi="Tahoma" w:cs="Tahoma"/>
          <w:b/>
          <w:sz w:val="21"/>
          <w:szCs w:val="21"/>
        </w:rPr>
        <w:t xml:space="preserve">Forma zpracovaného díla </w:t>
      </w:r>
    </w:p>
    <w:p w14:paraId="40561C6D" w14:textId="77777777" w:rsidR="002974DA" w:rsidRPr="000008E4" w:rsidRDefault="002974DA" w:rsidP="002974DA">
      <w:pPr>
        <w:keepLines/>
        <w:suppressAutoHyphens/>
        <w:ind w:left="426"/>
        <w:jc w:val="both"/>
        <w:rPr>
          <w:rFonts w:ascii="Tahoma" w:hAnsi="Tahoma" w:cs="Tahoma"/>
          <w:sz w:val="21"/>
          <w:szCs w:val="21"/>
          <w:lang w:val="x-none"/>
        </w:rPr>
      </w:pPr>
    </w:p>
    <w:p w14:paraId="428D578A" w14:textId="77777777" w:rsidR="002974DA" w:rsidRPr="000008E4" w:rsidRDefault="002974DA" w:rsidP="00384ADF">
      <w:pPr>
        <w:numPr>
          <w:ilvl w:val="1"/>
          <w:numId w:val="29"/>
        </w:numPr>
        <w:tabs>
          <w:tab w:val="left" w:pos="-1701"/>
          <w:tab w:val="right" w:pos="0"/>
        </w:tabs>
        <w:suppressAutoHyphens/>
        <w:ind w:left="426" w:right="139" w:hanging="426"/>
        <w:contextualSpacing/>
        <w:jc w:val="both"/>
        <w:rPr>
          <w:rFonts w:ascii="Tahoma" w:hAnsi="Tahoma" w:cs="Tahoma"/>
          <w:sz w:val="21"/>
          <w:szCs w:val="21"/>
          <w:lang w:val="x-none"/>
        </w:rPr>
      </w:pPr>
      <w:r w:rsidRPr="000008E4">
        <w:rPr>
          <w:rFonts w:ascii="Tahoma" w:hAnsi="Tahoma" w:cs="Tahoma"/>
          <w:sz w:val="21"/>
          <w:szCs w:val="21"/>
        </w:rPr>
        <w:t>Projektová dokumentace bude předána v následujícím počtu vyhotovení:</w:t>
      </w:r>
    </w:p>
    <w:p w14:paraId="43643016" w14:textId="77777777" w:rsidR="002974DA" w:rsidRPr="000008E4" w:rsidRDefault="002974DA" w:rsidP="002974DA">
      <w:pPr>
        <w:ind w:left="993"/>
        <w:jc w:val="both"/>
        <w:rPr>
          <w:rFonts w:ascii="Tahoma" w:hAnsi="Tahoma" w:cs="Tahoma"/>
          <w:sz w:val="21"/>
          <w:szCs w:val="21"/>
        </w:rPr>
      </w:pPr>
    </w:p>
    <w:p w14:paraId="7595857E" w14:textId="77777777" w:rsidR="002974DA" w:rsidRPr="000008E4" w:rsidRDefault="002974DA" w:rsidP="002974DA">
      <w:pPr>
        <w:numPr>
          <w:ilvl w:val="0"/>
          <w:numId w:val="11"/>
        </w:numPr>
        <w:spacing w:after="120"/>
        <w:ind w:left="426" w:hanging="426"/>
        <w:contextualSpacing/>
        <w:rPr>
          <w:rFonts w:ascii="Tahoma" w:hAnsi="Tahoma" w:cs="Tahoma"/>
          <w:sz w:val="21"/>
          <w:szCs w:val="21"/>
          <w:lang w:eastAsia="zh-CN"/>
        </w:rPr>
      </w:pPr>
      <w:r w:rsidRPr="000008E4">
        <w:rPr>
          <w:rFonts w:ascii="Tahoma" w:hAnsi="Tahoma" w:cs="Tahoma"/>
          <w:b/>
          <w:bCs/>
          <w:sz w:val="21"/>
          <w:szCs w:val="21"/>
        </w:rPr>
        <w:t xml:space="preserve">PD pro </w:t>
      </w:r>
      <w:r w:rsidRPr="000008E4">
        <w:rPr>
          <w:rFonts w:ascii="Tahoma" w:hAnsi="Tahoma" w:cs="Tahoma"/>
          <w:b/>
          <w:sz w:val="21"/>
          <w:szCs w:val="21"/>
        </w:rPr>
        <w:t>vydání povolení záměru</w:t>
      </w:r>
      <w:r w:rsidRPr="000008E4">
        <w:rPr>
          <w:rFonts w:ascii="Tahoma" w:hAnsi="Tahoma" w:cs="Tahoma"/>
          <w:b/>
          <w:bCs/>
          <w:sz w:val="21"/>
          <w:szCs w:val="21"/>
        </w:rPr>
        <w:t>:</w:t>
      </w:r>
    </w:p>
    <w:p w14:paraId="042F3A3F" w14:textId="77777777" w:rsidR="002974DA" w:rsidRPr="000008E4" w:rsidRDefault="002974DA" w:rsidP="002974DA">
      <w:pPr>
        <w:ind w:left="786" w:hanging="360"/>
        <w:rPr>
          <w:rFonts w:ascii="Tahoma" w:hAnsi="Tahoma" w:cs="Tahoma"/>
          <w:strike/>
          <w:sz w:val="21"/>
          <w:szCs w:val="21"/>
        </w:rPr>
      </w:pPr>
      <w:r w:rsidRPr="000008E4">
        <w:rPr>
          <w:rFonts w:ascii="Tahoma" w:hAnsi="Tahoma" w:cs="Tahoma"/>
          <w:sz w:val="21"/>
          <w:szCs w:val="21"/>
          <w:u w:val="single"/>
        </w:rPr>
        <w:t>Písemná forma</w:t>
      </w:r>
      <w:r w:rsidRPr="000008E4">
        <w:rPr>
          <w:rFonts w:ascii="Tahoma" w:hAnsi="Tahoma" w:cs="Tahoma"/>
          <w:sz w:val="21"/>
          <w:szCs w:val="21"/>
        </w:rPr>
        <w:t xml:space="preserve"> – PD </w:t>
      </w:r>
      <w:proofErr w:type="gramStart"/>
      <w:r w:rsidRPr="000008E4">
        <w:rPr>
          <w:rFonts w:ascii="Tahoma" w:hAnsi="Tahoma" w:cs="Tahoma"/>
          <w:sz w:val="21"/>
          <w:szCs w:val="21"/>
        </w:rPr>
        <w:t>pro  povolení</w:t>
      </w:r>
      <w:proofErr w:type="gramEnd"/>
      <w:r w:rsidRPr="000008E4">
        <w:rPr>
          <w:rFonts w:ascii="Tahoma" w:hAnsi="Tahoma" w:cs="Tahoma"/>
          <w:sz w:val="21"/>
          <w:szCs w:val="21"/>
        </w:rPr>
        <w:t xml:space="preserve"> záměru ve 2 vyhotoveních</w:t>
      </w:r>
    </w:p>
    <w:p w14:paraId="22DA45F3" w14:textId="77777777" w:rsidR="002974DA" w:rsidRPr="000008E4" w:rsidRDefault="002974DA" w:rsidP="002974DA">
      <w:pPr>
        <w:ind w:left="786" w:hanging="360"/>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14:paraId="2ABA448F"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texty v DOC a PDF, </w:t>
      </w:r>
    </w:p>
    <w:p w14:paraId="46E4EE27"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výkresy v DWG a PDF, </w:t>
      </w:r>
    </w:p>
    <w:p w14:paraId="57911D97"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tabulky a výpočty v XLS, </w:t>
      </w:r>
    </w:p>
    <w:p w14:paraId="7529185F" w14:textId="77777777" w:rsidR="002974DA" w:rsidRPr="000008E4" w:rsidRDefault="002974DA" w:rsidP="002974DA">
      <w:pPr>
        <w:numPr>
          <w:ilvl w:val="0"/>
          <w:numId w:val="8"/>
        </w:numPr>
        <w:autoSpaceDE w:val="0"/>
        <w:autoSpaceDN w:val="0"/>
        <w:adjustRightInd w:val="0"/>
        <w:ind w:left="709" w:hanging="425"/>
        <w:rPr>
          <w:rFonts w:ascii="Tahoma" w:hAnsi="Tahoma" w:cs="Tahoma"/>
          <w:color w:val="000000"/>
          <w:sz w:val="21"/>
          <w:szCs w:val="21"/>
        </w:rPr>
      </w:pPr>
      <w:r w:rsidRPr="000008E4">
        <w:rPr>
          <w:rFonts w:ascii="Tahoma" w:hAnsi="Tahoma" w:cs="Tahoma"/>
          <w:color w:val="000000"/>
          <w:sz w:val="21"/>
          <w:szCs w:val="21"/>
        </w:rPr>
        <w:t xml:space="preserve">vizualizace ve formátu JPG i PDF. </w:t>
      </w:r>
    </w:p>
    <w:p w14:paraId="3A7B079B" w14:textId="77777777" w:rsidR="002974DA" w:rsidRPr="000008E4" w:rsidRDefault="002974DA" w:rsidP="002974DA">
      <w:pPr>
        <w:ind w:left="426"/>
        <w:jc w:val="both"/>
        <w:rPr>
          <w:rFonts w:ascii="Tahoma" w:hAnsi="Tahoma" w:cs="Tahoma"/>
          <w:sz w:val="21"/>
          <w:szCs w:val="21"/>
        </w:rPr>
      </w:pPr>
      <w:r w:rsidRPr="000008E4">
        <w:rPr>
          <w:rFonts w:ascii="Tahoma" w:hAnsi="Tahoma" w:cs="Tahoma"/>
          <w:sz w:val="21"/>
          <w:szCs w:val="21"/>
        </w:rPr>
        <w:t>Splněním tohoto bodu se rozumí předání úplné projektové dokumentace ve stupni pro povolení záměru.</w:t>
      </w:r>
    </w:p>
    <w:p w14:paraId="4881F6A4" w14:textId="77777777" w:rsidR="002974DA" w:rsidRPr="000008E4" w:rsidRDefault="002974DA" w:rsidP="002974DA">
      <w:pPr>
        <w:numPr>
          <w:ilvl w:val="0"/>
          <w:numId w:val="11"/>
        </w:numPr>
        <w:spacing w:after="120"/>
        <w:ind w:left="426"/>
        <w:contextualSpacing/>
        <w:rPr>
          <w:rFonts w:ascii="Tahoma" w:hAnsi="Tahoma" w:cs="Tahoma"/>
          <w:b/>
          <w:sz w:val="21"/>
          <w:szCs w:val="21"/>
          <w:lang w:eastAsia="zh-CN"/>
        </w:rPr>
      </w:pPr>
      <w:r w:rsidRPr="000008E4">
        <w:rPr>
          <w:rFonts w:ascii="Tahoma" w:hAnsi="Tahoma" w:cs="Tahoma"/>
          <w:b/>
          <w:sz w:val="21"/>
          <w:szCs w:val="21"/>
          <w:lang w:eastAsia="zh-CN"/>
        </w:rPr>
        <w:t>PD pro provádění stavby:</w:t>
      </w:r>
    </w:p>
    <w:p w14:paraId="3CDFDB61" w14:textId="77777777" w:rsidR="002974DA" w:rsidRPr="000008E4" w:rsidRDefault="002974DA" w:rsidP="002974DA">
      <w:pPr>
        <w:ind w:left="708" w:hanging="282"/>
        <w:rPr>
          <w:rFonts w:ascii="Tahoma" w:hAnsi="Tahoma" w:cs="Tahoma"/>
          <w:sz w:val="21"/>
          <w:szCs w:val="21"/>
          <w:highlight w:val="yellow"/>
        </w:rPr>
      </w:pPr>
      <w:r w:rsidRPr="000008E4">
        <w:rPr>
          <w:rFonts w:ascii="Tahoma" w:hAnsi="Tahoma" w:cs="Tahoma"/>
          <w:sz w:val="21"/>
          <w:szCs w:val="21"/>
          <w:u w:val="single"/>
        </w:rPr>
        <w:lastRenderedPageBreak/>
        <w:t>Písemná forma</w:t>
      </w:r>
      <w:r w:rsidRPr="000008E4">
        <w:rPr>
          <w:rFonts w:ascii="Tahoma" w:hAnsi="Tahoma" w:cs="Tahoma"/>
          <w:sz w:val="21"/>
          <w:szCs w:val="21"/>
        </w:rPr>
        <w:t xml:space="preserve"> – PD pro provádění stavby v 3 vyhotoveních z toho:</w:t>
      </w:r>
    </w:p>
    <w:p w14:paraId="72EFDDFE" w14:textId="77777777"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 xml:space="preserve">1 vyhotovení bude obsahovat oceněný soupis prací s výkazem výměr, </w:t>
      </w:r>
    </w:p>
    <w:p w14:paraId="77245D98" w14:textId="77777777"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2 vyhotovení budou bez oceněného i neoceněného soupisu prací s výkazem výměr.</w:t>
      </w:r>
    </w:p>
    <w:p w14:paraId="49278807" w14:textId="77777777" w:rsidR="002974DA" w:rsidRPr="000008E4" w:rsidRDefault="002974DA" w:rsidP="002974DA">
      <w:pPr>
        <w:ind w:left="708" w:hanging="282"/>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14:paraId="0C9A5F78"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texty v DOC a PDF, </w:t>
      </w:r>
    </w:p>
    <w:p w14:paraId="194D39CA"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výkresy v DWG a PDF, </w:t>
      </w:r>
    </w:p>
    <w:p w14:paraId="42AEC0E4"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tabulky a výpočty v XLS, </w:t>
      </w:r>
    </w:p>
    <w:p w14:paraId="14578AD7" w14:textId="77777777" w:rsidR="002974DA" w:rsidRPr="000008E4" w:rsidRDefault="002974DA" w:rsidP="00384ADF">
      <w:pPr>
        <w:numPr>
          <w:ilvl w:val="0"/>
          <w:numId w:val="23"/>
        </w:numPr>
        <w:autoSpaceDE w:val="0"/>
        <w:autoSpaceDN w:val="0"/>
        <w:adjustRightInd w:val="0"/>
        <w:ind w:left="709" w:hanging="425"/>
        <w:jc w:val="both"/>
        <w:rPr>
          <w:rFonts w:ascii="Tahoma" w:hAnsi="Tahoma" w:cs="Tahoma"/>
          <w:color w:val="000000"/>
          <w:sz w:val="21"/>
          <w:szCs w:val="21"/>
        </w:rPr>
      </w:pPr>
      <w:r w:rsidRPr="000008E4">
        <w:rPr>
          <w:rFonts w:ascii="Tahoma" w:hAnsi="Tahoma" w:cs="Tahoma"/>
          <w:color w:val="000000"/>
          <w:sz w:val="21"/>
          <w:szCs w:val="21"/>
        </w:rPr>
        <w:t xml:space="preserve">soupis stavebních prací, dodávek a služeb s výkazem výměr ve formátech XLS, PDF a XML v souladu s vyhláškou č.169/2016 Sb. </w:t>
      </w:r>
    </w:p>
    <w:p w14:paraId="35F97308" w14:textId="77777777"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7.2 Excel formát bude obsahovat nastavené vzorce s tím, že zhotovitel zaručuje funkčnost všech vzorců, včetně celkových součtů.</w:t>
      </w:r>
    </w:p>
    <w:p w14:paraId="5E0A49D5" w14:textId="77777777"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7.3 Splněním tohoto výkonového stupně se rozumí předání úplné projektové dokumentace ve stupni projektové dokumentace pro provedení stavby včetně soupisu stavebních prací, dodávek a služeb.</w:t>
      </w:r>
    </w:p>
    <w:p w14:paraId="058C0CA4" w14:textId="77777777" w:rsidR="002974DA" w:rsidRPr="000008E4" w:rsidRDefault="002974DA" w:rsidP="002974DA">
      <w:pPr>
        <w:ind w:left="426" w:hanging="426"/>
        <w:rPr>
          <w:rFonts w:ascii="Tahoma" w:hAnsi="Tahoma" w:cs="Tahoma"/>
          <w:b/>
          <w:bCs/>
          <w:sz w:val="21"/>
          <w:szCs w:val="21"/>
          <w:lang w:val="x-none"/>
        </w:rPr>
      </w:pPr>
      <w:r w:rsidRPr="000008E4">
        <w:rPr>
          <w:rFonts w:ascii="Tahoma" w:hAnsi="Tahoma" w:cs="Tahoma"/>
          <w:sz w:val="21"/>
          <w:szCs w:val="21"/>
        </w:rPr>
        <w:t xml:space="preserve">7.4 Písemná forma projektové dokumentace musí být shodná s digitální formou; digitální formát prováděcí dokumentace pro zadání veřejné zakázky bude předán v jednotné formě a úpravě a v obecně přístupné verzi každého z použitých programů. </w:t>
      </w:r>
    </w:p>
    <w:p w14:paraId="79EBFD3B" w14:textId="77777777" w:rsidR="002974DA" w:rsidRPr="000008E4" w:rsidRDefault="002974DA" w:rsidP="002974DA">
      <w:pPr>
        <w:jc w:val="both"/>
        <w:rPr>
          <w:rFonts w:ascii="Tahoma" w:hAnsi="Tahoma" w:cs="Tahoma"/>
          <w:sz w:val="21"/>
          <w:szCs w:val="21"/>
        </w:rPr>
      </w:pPr>
    </w:p>
    <w:p w14:paraId="6D5EAFD9" w14:textId="77777777"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3</w:t>
      </w:r>
    </w:p>
    <w:p w14:paraId="648D1BEE" w14:textId="77777777" w:rsidR="002974DA" w:rsidRPr="000008E4" w:rsidRDefault="002974DA" w:rsidP="002974DA">
      <w:pPr>
        <w:jc w:val="center"/>
        <w:rPr>
          <w:rFonts w:ascii="Tahoma" w:hAnsi="Tahoma" w:cs="Tahoma"/>
          <w:b/>
          <w:bCs/>
          <w:sz w:val="21"/>
          <w:szCs w:val="21"/>
          <w:lang w:val="x-none"/>
        </w:rPr>
      </w:pPr>
      <w:r w:rsidRPr="000008E4">
        <w:rPr>
          <w:rFonts w:ascii="Tahoma" w:hAnsi="Tahoma" w:cs="Tahoma"/>
          <w:b/>
          <w:bCs/>
          <w:sz w:val="21"/>
          <w:szCs w:val="21"/>
          <w:lang w:val="x-none"/>
        </w:rPr>
        <w:t xml:space="preserve">Doba, místo a další podmínky plnění </w:t>
      </w:r>
    </w:p>
    <w:p w14:paraId="14755C4B" w14:textId="77777777" w:rsidR="002974DA" w:rsidRPr="000008E4" w:rsidRDefault="002974DA" w:rsidP="003B14D5">
      <w:pPr>
        <w:spacing w:after="0"/>
        <w:ind w:left="425" w:hanging="425"/>
        <w:jc w:val="center"/>
        <w:rPr>
          <w:rFonts w:ascii="Tahoma" w:hAnsi="Tahoma" w:cs="Tahoma"/>
          <w:sz w:val="21"/>
          <w:szCs w:val="21"/>
          <w:lang w:val="x-none"/>
        </w:rPr>
      </w:pPr>
    </w:p>
    <w:p w14:paraId="7562731F" w14:textId="77777777" w:rsidR="002974DA" w:rsidRPr="000008E4" w:rsidRDefault="002974DA" w:rsidP="002974DA">
      <w:pPr>
        <w:numPr>
          <w:ilvl w:val="1"/>
          <w:numId w:val="2"/>
        </w:numPr>
        <w:tabs>
          <w:tab w:val="left" w:pos="993"/>
          <w:tab w:val="left" w:pos="8931"/>
          <w:tab w:val="left" w:pos="9072"/>
        </w:tabs>
        <w:autoSpaceDE w:val="0"/>
        <w:autoSpaceDN w:val="0"/>
        <w:adjustRightInd w:val="0"/>
        <w:spacing w:after="0"/>
        <w:ind w:right="-2"/>
        <w:contextualSpacing/>
        <w:jc w:val="both"/>
        <w:rPr>
          <w:rFonts w:ascii="Tahoma" w:hAnsi="Tahoma" w:cs="Tahoma"/>
          <w:bCs/>
          <w:sz w:val="21"/>
          <w:szCs w:val="21"/>
        </w:rPr>
      </w:pPr>
      <w:r w:rsidRPr="000008E4">
        <w:rPr>
          <w:rFonts w:ascii="Tahoma" w:hAnsi="Tahoma" w:cs="Tahoma"/>
          <w:sz w:val="21"/>
          <w:szCs w:val="21"/>
          <w:lang w:val="x-none"/>
        </w:rPr>
        <w:t xml:space="preserve">Zhotovitel je povinen zahájit </w:t>
      </w:r>
      <w:r w:rsidRPr="000008E4">
        <w:rPr>
          <w:rFonts w:ascii="Tahoma" w:hAnsi="Tahoma" w:cs="Tahoma"/>
          <w:sz w:val="21"/>
          <w:szCs w:val="21"/>
        </w:rPr>
        <w:t xml:space="preserve">provádění díla </w:t>
      </w:r>
      <w:r w:rsidRPr="000008E4">
        <w:rPr>
          <w:rFonts w:ascii="Tahoma" w:hAnsi="Tahoma" w:cs="Tahoma"/>
          <w:b/>
          <w:sz w:val="21"/>
          <w:szCs w:val="21"/>
        </w:rPr>
        <w:t>po</w:t>
      </w:r>
      <w:r w:rsidRPr="000008E4">
        <w:rPr>
          <w:rFonts w:ascii="Tahoma" w:hAnsi="Tahoma" w:cs="Tahoma"/>
          <w:sz w:val="21"/>
          <w:szCs w:val="21"/>
        </w:rPr>
        <w:t xml:space="preserve"> </w:t>
      </w:r>
      <w:r w:rsidRPr="000008E4">
        <w:rPr>
          <w:rFonts w:ascii="Tahoma" w:hAnsi="Tahoma" w:cs="Tahoma"/>
          <w:b/>
          <w:bCs/>
          <w:sz w:val="21"/>
          <w:szCs w:val="21"/>
        </w:rPr>
        <w:t>nabytí účinnosti smlouvy.</w:t>
      </w:r>
    </w:p>
    <w:p w14:paraId="5CE77036" w14:textId="77777777" w:rsidR="002974DA" w:rsidRPr="000008E4" w:rsidRDefault="002974DA" w:rsidP="002974DA">
      <w:pPr>
        <w:tabs>
          <w:tab w:val="left" w:pos="993"/>
          <w:tab w:val="left" w:pos="8931"/>
          <w:tab w:val="left" w:pos="9072"/>
        </w:tabs>
        <w:autoSpaceDE w:val="0"/>
        <w:autoSpaceDN w:val="0"/>
        <w:adjustRightInd w:val="0"/>
        <w:ind w:left="420" w:right="-2"/>
        <w:contextualSpacing/>
        <w:jc w:val="both"/>
        <w:rPr>
          <w:rFonts w:ascii="Tahoma" w:hAnsi="Tahoma" w:cs="Tahoma"/>
          <w:bCs/>
          <w:sz w:val="21"/>
          <w:szCs w:val="21"/>
        </w:rPr>
      </w:pPr>
    </w:p>
    <w:p w14:paraId="35C89C83" w14:textId="2F36AA7A" w:rsidR="002974DA" w:rsidRDefault="002974DA" w:rsidP="002974DA">
      <w:pPr>
        <w:keepLines/>
        <w:numPr>
          <w:ilvl w:val="1"/>
          <w:numId w:val="2"/>
        </w:numPr>
        <w:suppressAutoHyphens/>
        <w:spacing w:after="0"/>
        <w:jc w:val="both"/>
        <w:rPr>
          <w:rFonts w:ascii="Tahoma" w:hAnsi="Tahoma" w:cs="Tahoma"/>
          <w:sz w:val="21"/>
          <w:szCs w:val="21"/>
          <w:lang w:val="x-none"/>
        </w:rPr>
      </w:pPr>
      <w:r w:rsidRPr="000008E4">
        <w:rPr>
          <w:rFonts w:ascii="Tahoma" w:hAnsi="Tahoma" w:cs="Tahoma"/>
          <w:sz w:val="21"/>
          <w:szCs w:val="21"/>
          <w:lang w:val="x-none"/>
        </w:rPr>
        <w:t>Zhotovitel je povinen zabezpečit provedení celého funkčního a bezvadného předmětu plnění díla</w:t>
      </w:r>
      <w:bookmarkStart w:id="1" w:name="_GoBack"/>
      <w:bookmarkEnd w:id="1"/>
      <w:r w:rsidRPr="000008E4">
        <w:rPr>
          <w:rFonts w:ascii="Tahoma" w:hAnsi="Tahoma" w:cs="Tahoma"/>
          <w:sz w:val="21"/>
          <w:szCs w:val="21"/>
        </w:rPr>
        <w:t>:</w:t>
      </w:r>
      <w:r w:rsidRPr="000008E4">
        <w:rPr>
          <w:rFonts w:ascii="Tahoma" w:hAnsi="Tahoma" w:cs="Tahoma"/>
          <w:sz w:val="21"/>
          <w:szCs w:val="21"/>
          <w:lang w:val="x-none"/>
        </w:rPr>
        <w:t xml:space="preserve"> </w:t>
      </w:r>
    </w:p>
    <w:p w14:paraId="0CBADF3A" w14:textId="2DD81479" w:rsidR="00260E06" w:rsidRPr="00903AE5" w:rsidRDefault="00260E06" w:rsidP="00384ADF">
      <w:pPr>
        <w:numPr>
          <w:ilvl w:val="0"/>
          <w:numId w:val="30"/>
        </w:numPr>
        <w:tabs>
          <w:tab w:val="left" w:pos="709"/>
          <w:tab w:val="left" w:pos="7797"/>
        </w:tabs>
        <w:autoSpaceDE w:val="0"/>
        <w:autoSpaceDN w:val="0"/>
        <w:adjustRightInd w:val="0"/>
        <w:ind w:left="709" w:hanging="289"/>
        <w:contextualSpacing/>
        <w:jc w:val="both"/>
        <w:rPr>
          <w:rFonts w:ascii="Tahoma" w:hAnsi="Tahoma" w:cs="Tahoma"/>
          <w:bCs/>
          <w:sz w:val="21"/>
          <w:szCs w:val="21"/>
        </w:rPr>
      </w:pPr>
      <w:r w:rsidRPr="00903AE5">
        <w:rPr>
          <w:rFonts w:ascii="Tahoma" w:hAnsi="Tahoma" w:cs="Tahoma"/>
          <w:bCs/>
          <w:sz w:val="21"/>
          <w:szCs w:val="21"/>
        </w:rPr>
        <w:t xml:space="preserve">předložení </w:t>
      </w:r>
      <w:r w:rsidRPr="00C13C56">
        <w:rPr>
          <w:rFonts w:ascii="Tahoma" w:hAnsi="Tahoma" w:cs="Tahoma"/>
          <w:b/>
          <w:bCs/>
          <w:sz w:val="21"/>
          <w:szCs w:val="21"/>
        </w:rPr>
        <w:t xml:space="preserve">konceptu </w:t>
      </w: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é</w:t>
      </w:r>
      <w:proofErr w:type="spellEnd"/>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Pr>
          <w:rFonts w:ascii="Tahoma" w:hAnsi="Tahoma" w:cs="Tahoma"/>
          <w:b/>
          <w:sz w:val="21"/>
          <w:szCs w:val="21"/>
        </w:rPr>
        <w:t>povolení záměru</w:t>
      </w:r>
      <w:r>
        <w:rPr>
          <w:rFonts w:ascii="Tahoma" w:hAnsi="Tahoma" w:cs="Tahoma"/>
          <w:bCs/>
          <w:sz w:val="21"/>
          <w:szCs w:val="21"/>
        </w:rPr>
        <w:t xml:space="preserve"> </w:t>
      </w:r>
      <w:r w:rsidRPr="000A7DAC">
        <w:rPr>
          <w:rFonts w:ascii="Tahoma" w:hAnsi="Tahoma" w:cs="Tahoma"/>
          <w:b/>
          <w:bCs/>
          <w:sz w:val="21"/>
          <w:szCs w:val="21"/>
        </w:rPr>
        <w:t>do 2 měsíců ode dne nabytí účinnosti smlouvy</w:t>
      </w:r>
      <w:r>
        <w:rPr>
          <w:rFonts w:ascii="Tahoma" w:hAnsi="Tahoma" w:cs="Tahoma"/>
          <w:b/>
          <w:bCs/>
          <w:sz w:val="21"/>
          <w:szCs w:val="21"/>
        </w:rPr>
        <w:t>.</w:t>
      </w:r>
    </w:p>
    <w:p w14:paraId="78126E96" w14:textId="5596208D" w:rsidR="00260E06" w:rsidRDefault="00260E06" w:rsidP="00384ADF">
      <w:pPr>
        <w:pStyle w:val="Odstavecseseznamem"/>
        <w:keepLines/>
        <w:numPr>
          <w:ilvl w:val="0"/>
          <w:numId w:val="30"/>
        </w:numPr>
        <w:suppressAutoHyphens/>
        <w:spacing w:after="0" w:line="240" w:lineRule="auto"/>
        <w:ind w:left="709" w:hanging="289"/>
        <w:jc w:val="both"/>
        <w:rPr>
          <w:rFonts w:ascii="Tahoma" w:hAnsi="Tahoma" w:cs="Tahoma"/>
          <w:sz w:val="21"/>
          <w:szCs w:val="21"/>
        </w:rPr>
      </w:pP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á</w:t>
      </w:r>
      <w:proofErr w:type="spellEnd"/>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Pr>
          <w:rFonts w:ascii="Tahoma" w:hAnsi="Tahoma" w:cs="Tahoma"/>
          <w:b/>
          <w:sz w:val="21"/>
          <w:szCs w:val="21"/>
        </w:rPr>
        <w:t xml:space="preserve">povolení záměru, </w:t>
      </w:r>
      <w:r w:rsidRPr="00C13C56">
        <w:rPr>
          <w:rFonts w:ascii="Tahoma" w:hAnsi="Tahoma" w:cs="Tahoma"/>
          <w:sz w:val="21"/>
          <w:szCs w:val="21"/>
        </w:rPr>
        <w:t xml:space="preserve">včetně plánu BOZP a inženýrské činnosti pro obstarání dokladů, zpracování a podání žádosti příslušnému stavebnímu úřadu </w:t>
      </w:r>
      <w:r w:rsidRPr="000A7DAC">
        <w:rPr>
          <w:rFonts w:ascii="Tahoma" w:hAnsi="Tahoma" w:cs="Tahoma"/>
          <w:b/>
          <w:bCs/>
          <w:sz w:val="21"/>
          <w:szCs w:val="21"/>
        </w:rPr>
        <w:t>do 3 měsíců ode dne schválení konceptu objednatelem</w:t>
      </w:r>
      <w:r>
        <w:rPr>
          <w:rFonts w:ascii="Tahoma" w:hAnsi="Tahoma" w:cs="Tahoma"/>
          <w:b/>
          <w:bCs/>
          <w:sz w:val="21"/>
          <w:szCs w:val="21"/>
        </w:rPr>
        <w:t>.</w:t>
      </w:r>
    </w:p>
    <w:p w14:paraId="76296B5F" w14:textId="77777777" w:rsidR="00260E06" w:rsidRPr="000A7DAC" w:rsidRDefault="00260E06" w:rsidP="00260E06">
      <w:pPr>
        <w:tabs>
          <w:tab w:val="left" w:pos="709"/>
          <w:tab w:val="left" w:pos="7938"/>
        </w:tabs>
        <w:autoSpaceDE w:val="0"/>
        <w:autoSpaceDN w:val="0"/>
        <w:adjustRightInd w:val="0"/>
        <w:ind w:left="709"/>
        <w:contextualSpacing/>
        <w:jc w:val="both"/>
        <w:rPr>
          <w:rFonts w:ascii="Tahoma" w:hAnsi="Tahoma" w:cs="Tahoma"/>
          <w:b/>
          <w:bCs/>
          <w:sz w:val="21"/>
          <w:szCs w:val="21"/>
        </w:rPr>
      </w:pPr>
    </w:p>
    <w:p w14:paraId="2E091785" w14:textId="7B6B9CB5" w:rsidR="00260E06" w:rsidRPr="00C13C56" w:rsidRDefault="00260E06" w:rsidP="00384ADF">
      <w:pPr>
        <w:numPr>
          <w:ilvl w:val="0"/>
          <w:numId w:val="30"/>
        </w:numPr>
        <w:tabs>
          <w:tab w:val="left" w:pos="709"/>
        </w:tabs>
        <w:autoSpaceDE w:val="0"/>
        <w:autoSpaceDN w:val="0"/>
        <w:adjustRightInd w:val="0"/>
        <w:ind w:left="709" w:hanging="289"/>
        <w:contextualSpacing/>
        <w:jc w:val="both"/>
        <w:rPr>
          <w:rFonts w:ascii="Tahoma" w:hAnsi="Tahoma" w:cs="Tahoma"/>
          <w:b/>
          <w:bCs/>
          <w:sz w:val="21"/>
          <w:szCs w:val="21"/>
        </w:rPr>
      </w:pPr>
      <w:r w:rsidRPr="00C13C56">
        <w:rPr>
          <w:rFonts w:ascii="Tahoma" w:hAnsi="Tahoma" w:cs="Tahoma"/>
          <w:b/>
          <w:bCs/>
          <w:sz w:val="21"/>
          <w:szCs w:val="21"/>
        </w:rPr>
        <w:t>p</w:t>
      </w:r>
      <w:proofErr w:type="spellStart"/>
      <w:r w:rsidRPr="00C13C56">
        <w:rPr>
          <w:rFonts w:ascii="Tahoma" w:hAnsi="Tahoma" w:cs="Tahoma"/>
          <w:b/>
          <w:sz w:val="21"/>
          <w:szCs w:val="21"/>
          <w:lang w:val="x-none"/>
        </w:rPr>
        <w:t>rojektov</w:t>
      </w:r>
      <w:r w:rsidRPr="00C13C56">
        <w:rPr>
          <w:rFonts w:ascii="Tahoma" w:hAnsi="Tahoma" w:cs="Tahoma"/>
          <w:b/>
          <w:sz w:val="21"/>
          <w:szCs w:val="21"/>
        </w:rPr>
        <w:t>á</w:t>
      </w:r>
      <w:proofErr w:type="spellEnd"/>
      <w:r w:rsidRPr="00C13C56">
        <w:rPr>
          <w:rFonts w:ascii="Tahoma" w:hAnsi="Tahoma" w:cs="Tahoma"/>
          <w:b/>
          <w:sz w:val="21"/>
          <w:szCs w:val="21"/>
        </w:rPr>
        <w:t xml:space="preserve"> dokumentace pro provádění stavby </w:t>
      </w:r>
      <w:r w:rsidRPr="00C13C56">
        <w:rPr>
          <w:rFonts w:ascii="Tahoma" w:hAnsi="Tahoma" w:cs="Tahoma"/>
          <w:b/>
          <w:bCs/>
          <w:color w:val="000000"/>
          <w:sz w:val="21"/>
          <w:szCs w:val="21"/>
        </w:rPr>
        <w:t xml:space="preserve">do 1 měsíce </w:t>
      </w:r>
      <w:r w:rsidRPr="00C13C56">
        <w:rPr>
          <w:rFonts w:ascii="Tahoma" w:hAnsi="Tahoma" w:cs="Tahoma"/>
          <w:b/>
          <w:bCs/>
          <w:sz w:val="21"/>
          <w:szCs w:val="21"/>
        </w:rPr>
        <w:t>ode dne nabytí právní moci SP</w:t>
      </w:r>
      <w:r>
        <w:rPr>
          <w:rFonts w:ascii="Tahoma" w:hAnsi="Tahoma" w:cs="Tahoma"/>
          <w:b/>
          <w:bCs/>
          <w:sz w:val="21"/>
          <w:szCs w:val="21"/>
        </w:rPr>
        <w:t>.</w:t>
      </w:r>
    </w:p>
    <w:p w14:paraId="16D3BDCF" w14:textId="77777777" w:rsidR="00F73814" w:rsidRPr="005D70BA" w:rsidRDefault="00F73814" w:rsidP="003B14D5">
      <w:pPr>
        <w:keepLines/>
        <w:numPr>
          <w:ilvl w:val="1"/>
          <w:numId w:val="2"/>
        </w:numPr>
        <w:suppressAutoHyphens/>
        <w:spacing w:after="0"/>
        <w:jc w:val="both"/>
        <w:rPr>
          <w:rFonts w:ascii="Tahoma" w:hAnsi="Tahoma" w:cs="Tahoma"/>
          <w:sz w:val="21"/>
          <w:szCs w:val="21"/>
          <w:lang w:val="x-none" w:eastAsia="cs-CZ"/>
        </w:rPr>
      </w:pPr>
      <w:r>
        <w:rPr>
          <w:rFonts w:ascii="Tahoma" w:hAnsi="Tahoma" w:cs="Tahoma"/>
          <w:sz w:val="21"/>
          <w:szCs w:val="21"/>
          <w:lang w:eastAsia="cs-CZ"/>
        </w:rPr>
        <w:t xml:space="preserve">Strany sjednávají, že zhotovitel není v prodlení s dílčím termínem plnění </w:t>
      </w:r>
      <w:r w:rsidRPr="005D70BA">
        <w:rPr>
          <w:rFonts w:ascii="Tahoma" w:hAnsi="Tahoma" w:cs="Tahoma"/>
          <w:sz w:val="21"/>
          <w:szCs w:val="21"/>
          <w:lang w:val="x-none" w:eastAsia="cs-CZ"/>
        </w:rPr>
        <w:t>v těchto případech:</w:t>
      </w:r>
    </w:p>
    <w:p w14:paraId="54256D96" w14:textId="77777777" w:rsidR="00F73814" w:rsidRDefault="00F73814" w:rsidP="00F73814">
      <w:pPr>
        <w:keepLines/>
        <w:suppressAutoHyphens/>
        <w:rPr>
          <w:rFonts w:ascii="Tahoma" w:hAnsi="Tahoma" w:cs="Tahoma"/>
          <w:sz w:val="21"/>
          <w:szCs w:val="21"/>
          <w:lang w:eastAsia="cs-CZ"/>
        </w:rPr>
      </w:pPr>
    </w:p>
    <w:p w14:paraId="3AEA06F5"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5D70BA">
        <w:rPr>
          <w:rFonts w:ascii="Tahoma" w:hAnsi="Tahoma" w:cs="Tahoma"/>
          <w:sz w:val="21"/>
          <w:szCs w:val="21"/>
          <w:lang w:val="x-none" w:eastAsia="cs-CZ"/>
        </w:rPr>
        <w:lastRenderedPageBreak/>
        <w:t>příslušný stavební úřad, jiný orgán veřejné správy a/nebo DOSS a/nebo správci sítí nevydají potřebné rozhodnutí, vyjádření, stanovisko, závazné stanovisko, souhlas či jiný úkon v zákonné lhůtě a/nebo budou nečinné a/nebo vydání potřebných rozhodnutí, vyjádření, stanovisek, závazných stanovisek, souhlasů či jiných úkonů se prodlouží či zcela znemožní z důvodů na straně třetích osob (např. porušení povinností úředních osob, námitky účastníků řízení, odvolání, správní žaloby, neposkytnutí souhlasu) a/nebo dojde k jiné obdobné překážce;</w:t>
      </w:r>
    </w:p>
    <w:p w14:paraId="3F19BB52" w14:textId="77777777" w:rsidR="00F73814" w:rsidRDefault="00F73814" w:rsidP="00F73814">
      <w:pPr>
        <w:pStyle w:val="Odstavecseseznamem"/>
        <w:keepLines/>
        <w:suppressAutoHyphens/>
        <w:ind w:left="924"/>
        <w:rPr>
          <w:rFonts w:ascii="Tahoma" w:hAnsi="Tahoma" w:cs="Tahoma"/>
          <w:sz w:val="21"/>
          <w:szCs w:val="21"/>
          <w:lang w:val="x-none" w:eastAsia="cs-CZ"/>
        </w:rPr>
      </w:pPr>
    </w:p>
    <w:p w14:paraId="59341C38"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 xml:space="preserve">zdržení bylo způsobeno konáním či nekonáním </w:t>
      </w:r>
      <w:r>
        <w:rPr>
          <w:rFonts w:ascii="Tahoma" w:hAnsi="Tahoma" w:cs="Tahoma"/>
          <w:sz w:val="21"/>
          <w:szCs w:val="21"/>
          <w:lang w:eastAsia="cs-CZ"/>
        </w:rPr>
        <w:t>o</w:t>
      </w:r>
      <w:proofErr w:type="spellStart"/>
      <w:r w:rsidRPr="00984B71">
        <w:rPr>
          <w:rFonts w:ascii="Tahoma" w:hAnsi="Tahoma" w:cs="Tahoma"/>
          <w:sz w:val="21"/>
          <w:szCs w:val="21"/>
          <w:lang w:val="x-none" w:eastAsia="cs-CZ"/>
        </w:rPr>
        <w:t>bjednatele</w:t>
      </w:r>
      <w:proofErr w:type="spellEnd"/>
      <w:r w:rsidRPr="00984B71">
        <w:rPr>
          <w:rFonts w:ascii="Tahoma" w:hAnsi="Tahoma" w:cs="Tahoma"/>
          <w:sz w:val="21"/>
          <w:szCs w:val="21"/>
          <w:lang w:val="x-none" w:eastAsia="cs-CZ"/>
        </w:rPr>
        <w:t xml:space="preserve"> bránícím </w:t>
      </w:r>
      <w:r>
        <w:rPr>
          <w:rFonts w:ascii="Tahoma" w:hAnsi="Tahoma" w:cs="Tahoma"/>
          <w:sz w:val="21"/>
          <w:szCs w:val="21"/>
          <w:lang w:eastAsia="cs-CZ"/>
        </w:rPr>
        <w:t>z</w:t>
      </w:r>
      <w:r w:rsidRPr="00984B71">
        <w:rPr>
          <w:rFonts w:ascii="Tahoma" w:hAnsi="Tahoma" w:cs="Tahoma"/>
          <w:sz w:val="21"/>
          <w:szCs w:val="21"/>
          <w:lang w:val="x-none" w:eastAsia="cs-CZ"/>
        </w:rPr>
        <w:t xml:space="preserve">hotoviteli pokračovat v plnění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 xml:space="preserve"> (zejména neposkytnutí nezbytné součinnosti, podkladů a informací nezbytných pro činnost </w:t>
      </w:r>
      <w:r>
        <w:rPr>
          <w:rFonts w:ascii="Tahoma" w:hAnsi="Tahoma" w:cs="Tahoma"/>
          <w:sz w:val="21"/>
          <w:szCs w:val="21"/>
          <w:lang w:eastAsia="cs-CZ"/>
        </w:rPr>
        <w:t>z</w:t>
      </w:r>
      <w:r w:rsidRPr="00984B71">
        <w:rPr>
          <w:rFonts w:ascii="Tahoma" w:hAnsi="Tahoma" w:cs="Tahoma"/>
          <w:sz w:val="21"/>
          <w:szCs w:val="21"/>
          <w:lang w:val="x-none" w:eastAsia="cs-CZ"/>
        </w:rPr>
        <w:t xml:space="preserve">hotovitele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w:t>
      </w:r>
    </w:p>
    <w:p w14:paraId="3F2B6B9B" w14:textId="77777777" w:rsidR="00F73814" w:rsidRPr="00020030" w:rsidRDefault="00F73814" w:rsidP="00F73814">
      <w:pPr>
        <w:pStyle w:val="Odstavecseseznamem"/>
        <w:rPr>
          <w:rFonts w:ascii="Tahoma" w:hAnsi="Tahoma" w:cs="Tahoma"/>
          <w:sz w:val="21"/>
          <w:szCs w:val="21"/>
          <w:lang w:val="x-none" w:eastAsia="cs-CZ"/>
        </w:rPr>
      </w:pPr>
    </w:p>
    <w:p w14:paraId="7FCBFC49"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Pr>
          <w:rFonts w:ascii="Tahoma" w:hAnsi="Tahoma" w:cs="Tahoma"/>
          <w:sz w:val="21"/>
          <w:szCs w:val="21"/>
          <w:lang w:eastAsia="cs-CZ"/>
        </w:rPr>
        <w:t>z důvodů nových požadavků ze strany objednatele na změnu rozsahu díla oproti Stavebnímu programu dle přílohy č. 1 této smlouvy;</w:t>
      </w:r>
      <w:r w:rsidRPr="00984B71">
        <w:rPr>
          <w:rFonts w:ascii="Tahoma" w:hAnsi="Tahoma" w:cs="Tahoma"/>
          <w:sz w:val="21"/>
          <w:szCs w:val="21"/>
          <w:lang w:val="x-none" w:eastAsia="cs-CZ"/>
        </w:rPr>
        <w:t xml:space="preserve">  </w:t>
      </w:r>
    </w:p>
    <w:p w14:paraId="4F9A7AB3" w14:textId="77777777" w:rsidR="00F73814" w:rsidRPr="00984B71" w:rsidRDefault="00F73814" w:rsidP="00F73814">
      <w:pPr>
        <w:pStyle w:val="Odstavecseseznamem"/>
        <w:rPr>
          <w:rFonts w:ascii="Tahoma" w:hAnsi="Tahoma" w:cs="Tahoma"/>
          <w:sz w:val="21"/>
          <w:szCs w:val="21"/>
          <w:lang w:val="x-none" w:eastAsia="cs-CZ"/>
        </w:rPr>
      </w:pPr>
    </w:p>
    <w:p w14:paraId="7461FA5E" w14:textId="77777777" w:rsidR="00F73814" w:rsidRPr="00984B71"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v případě významných dodatečných požadavků DOSS či jiných dotčených subjektů k fázím dokumentace, zejména dodatečných průzkumů, měření a dílčích studií.</w:t>
      </w:r>
    </w:p>
    <w:p w14:paraId="6DCEE414" w14:textId="77777777" w:rsidR="00F73814" w:rsidRDefault="00F73814" w:rsidP="00F73814">
      <w:pPr>
        <w:keepLines/>
        <w:suppressAutoHyphens/>
        <w:ind w:left="420"/>
        <w:rPr>
          <w:rFonts w:ascii="Tahoma" w:hAnsi="Tahoma" w:cs="Tahoma"/>
          <w:sz w:val="21"/>
          <w:szCs w:val="21"/>
          <w:lang w:val="x-none" w:eastAsia="cs-CZ"/>
        </w:rPr>
      </w:pPr>
    </w:p>
    <w:p w14:paraId="3510BDE4" w14:textId="77777777" w:rsidR="00F73814" w:rsidRDefault="00F73814" w:rsidP="003B14D5">
      <w:pPr>
        <w:keepLines/>
        <w:suppressAutoHyphens/>
        <w:ind w:left="420"/>
        <w:jc w:val="both"/>
        <w:rPr>
          <w:rFonts w:ascii="Tahoma" w:hAnsi="Tahoma" w:cs="Tahoma"/>
          <w:sz w:val="21"/>
          <w:szCs w:val="21"/>
          <w:lang w:val="x-none" w:eastAsia="cs-CZ"/>
        </w:rPr>
      </w:pPr>
      <w:r w:rsidRPr="005D70BA">
        <w:rPr>
          <w:rFonts w:ascii="Tahoma" w:hAnsi="Tahoma" w:cs="Tahoma"/>
          <w:sz w:val="21"/>
          <w:szCs w:val="21"/>
          <w:lang w:val="x-none" w:eastAsia="cs-CZ"/>
        </w:rPr>
        <w:t>Nastane-li jakákoliv skutečnost dle tohoto odstavce, lhůty plnění se vždy prodlužují o dobu, kdy výše uvedené skutečnosti prokazatelně trvaly.</w:t>
      </w:r>
    </w:p>
    <w:p w14:paraId="56FE1D94" w14:textId="7385361C" w:rsidR="002974DA" w:rsidRDefault="002974DA" w:rsidP="002974DA">
      <w:pPr>
        <w:numPr>
          <w:ilvl w:val="1"/>
          <w:numId w:val="2"/>
        </w:numPr>
        <w:spacing w:after="120"/>
        <w:contextualSpacing/>
        <w:jc w:val="both"/>
        <w:rPr>
          <w:rFonts w:ascii="Tahoma" w:hAnsi="Tahoma" w:cs="Tahoma"/>
          <w:sz w:val="21"/>
          <w:szCs w:val="21"/>
          <w:lang w:val="x-none"/>
        </w:rPr>
      </w:pPr>
      <w:r w:rsidRPr="000008E4">
        <w:rPr>
          <w:rFonts w:ascii="Tahoma" w:hAnsi="Tahoma" w:cs="Tahoma"/>
          <w:sz w:val="21"/>
          <w:szCs w:val="21"/>
          <w:lang w:val="x-none"/>
        </w:rPr>
        <w:t>Dokončené dílo</w:t>
      </w:r>
      <w:r w:rsidRPr="000008E4">
        <w:rPr>
          <w:rFonts w:ascii="Tahoma" w:hAnsi="Tahoma" w:cs="Tahoma"/>
          <w:sz w:val="21"/>
          <w:szCs w:val="21"/>
        </w:rPr>
        <w:t>, resp. jeho dílčí části,</w:t>
      </w:r>
      <w:r w:rsidRPr="000008E4">
        <w:rPr>
          <w:rFonts w:ascii="Tahoma" w:hAnsi="Tahoma" w:cs="Tahoma"/>
          <w:sz w:val="21"/>
          <w:szCs w:val="21"/>
          <w:lang w:val="x-none"/>
        </w:rPr>
        <w:t xml:space="preserve"> musí být předány objednateli</w:t>
      </w:r>
      <w:r w:rsidRPr="000008E4">
        <w:rPr>
          <w:rFonts w:ascii="Tahoma" w:hAnsi="Tahoma" w:cs="Tahoma"/>
          <w:sz w:val="21"/>
          <w:szCs w:val="21"/>
        </w:rPr>
        <w:t xml:space="preserve"> v termínech dle této smlouvy</w:t>
      </w:r>
      <w:r w:rsidRPr="000008E4">
        <w:rPr>
          <w:rFonts w:ascii="Tahoma" w:hAnsi="Tahoma" w:cs="Tahoma"/>
          <w:sz w:val="21"/>
          <w:szCs w:val="21"/>
          <w:lang w:val="x-none"/>
        </w:rPr>
        <w:t xml:space="preserve">, a to protokolárním předáním a převzetím bez vad a nedodělků. </w:t>
      </w:r>
    </w:p>
    <w:p w14:paraId="7D443B75" w14:textId="77777777" w:rsidR="00260E06" w:rsidRPr="000008E4" w:rsidRDefault="00260E06" w:rsidP="00260E06">
      <w:pPr>
        <w:spacing w:after="120"/>
        <w:ind w:left="420"/>
        <w:contextualSpacing/>
        <w:jc w:val="both"/>
        <w:rPr>
          <w:rFonts w:ascii="Tahoma" w:hAnsi="Tahoma" w:cs="Tahoma"/>
          <w:sz w:val="21"/>
          <w:szCs w:val="21"/>
          <w:lang w:val="x-none"/>
        </w:rPr>
      </w:pPr>
    </w:p>
    <w:p w14:paraId="6DC18BBC" w14:textId="23DEAAC4" w:rsidR="002974DA" w:rsidRPr="000008E4" w:rsidRDefault="002974DA" w:rsidP="002974DA">
      <w:pPr>
        <w:keepLines/>
        <w:numPr>
          <w:ilvl w:val="1"/>
          <w:numId w:val="2"/>
        </w:numPr>
        <w:suppressAutoHyphens/>
        <w:spacing w:after="0" w:line="240" w:lineRule="auto"/>
        <w:jc w:val="both"/>
        <w:rPr>
          <w:rFonts w:ascii="Tahoma" w:hAnsi="Tahoma" w:cs="Tahoma"/>
          <w:color w:val="FF0000"/>
          <w:sz w:val="21"/>
          <w:szCs w:val="21"/>
          <w:lang w:val="x-none"/>
        </w:rPr>
      </w:pPr>
      <w:r w:rsidRPr="000008E4">
        <w:rPr>
          <w:rFonts w:ascii="Tahoma" w:hAnsi="Tahoma" w:cs="Tahoma"/>
          <w:sz w:val="21"/>
          <w:szCs w:val="21"/>
          <w:lang w:val="x-none"/>
        </w:rPr>
        <w:t xml:space="preserve">Místem plnění je </w:t>
      </w:r>
      <w:r w:rsidRPr="000008E4">
        <w:rPr>
          <w:rFonts w:ascii="Tahoma" w:hAnsi="Tahoma" w:cs="Tahoma"/>
          <w:sz w:val="21"/>
          <w:szCs w:val="21"/>
        </w:rPr>
        <w:t xml:space="preserve">budova Magistrátu města Frýdku-Místku, </w:t>
      </w:r>
      <w:r w:rsidR="00260E06">
        <w:rPr>
          <w:rFonts w:ascii="Tahoma" w:hAnsi="Tahoma" w:cs="Tahoma"/>
          <w:sz w:val="21"/>
          <w:szCs w:val="21"/>
        </w:rPr>
        <w:t>o</w:t>
      </w:r>
      <w:r w:rsidRPr="000008E4">
        <w:rPr>
          <w:rFonts w:ascii="Tahoma" w:hAnsi="Tahoma" w:cs="Tahoma"/>
          <w:sz w:val="21"/>
          <w:szCs w:val="21"/>
        </w:rPr>
        <w:t>dbor</w:t>
      </w:r>
      <w:r w:rsidR="00260E06">
        <w:rPr>
          <w:rFonts w:ascii="Tahoma" w:hAnsi="Tahoma" w:cs="Tahoma"/>
          <w:sz w:val="21"/>
          <w:szCs w:val="21"/>
        </w:rPr>
        <w:t xml:space="preserve"> dopravy a silničního hospodářství</w:t>
      </w:r>
      <w:r w:rsidRPr="000008E4">
        <w:rPr>
          <w:rFonts w:ascii="Tahoma" w:hAnsi="Tahoma" w:cs="Tahoma"/>
          <w:sz w:val="21"/>
          <w:szCs w:val="21"/>
        </w:rPr>
        <w:t>, Radniční 1148,  738 01 Frýdek-Místek, dílo převezme objednatel prostřednictvím osoby ve věcech technických</w:t>
      </w:r>
      <w:r w:rsidRPr="000008E4">
        <w:rPr>
          <w:rFonts w:ascii="Tahoma" w:hAnsi="Tahoma" w:cs="Tahoma"/>
          <w:sz w:val="21"/>
          <w:szCs w:val="21"/>
          <w:lang w:val="x-none"/>
        </w:rPr>
        <w:t>.</w:t>
      </w:r>
    </w:p>
    <w:p w14:paraId="351A8FDA" w14:textId="77777777" w:rsidR="002974DA" w:rsidRPr="000008E4" w:rsidRDefault="002974DA" w:rsidP="002974DA">
      <w:pPr>
        <w:keepLines/>
        <w:suppressAutoHyphens/>
        <w:ind w:left="420"/>
        <w:jc w:val="both"/>
        <w:rPr>
          <w:rFonts w:ascii="Tahoma" w:hAnsi="Tahoma" w:cs="Tahoma"/>
          <w:sz w:val="21"/>
          <w:szCs w:val="21"/>
          <w:lang w:val="x-none"/>
        </w:rPr>
      </w:pPr>
      <w:r w:rsidRPr="000008E4">
        <w:rPr>
          <w:rFonts w:ascii="Tahoma" w:hAnsi="Tahoma" w:cs="Tahoma"/>
          <w:sz w:val="21"/>
          <w:szCs w:val="21"/>
        </w:rPr>
        <w:t xml:space="preserve"> </w:t>
      </w:r>
    </w:p>
    <w:p w14:paraId="570D6F0B" w14:textId="77777777" w:rsidR="002974DA" w:rsidRPr="000008E4" w:rsidRDefault="002974DA" w:rsidP="002974DA">
      <w:pPr>
        <w:keepLines/>
        <w:numPr>
          <w:ilvl w:val="1"/>
          <w:numId w:val="2"/>
        </w:numPr>
        <w:suppressAutoHyphens/>
        <w:spacing w:after="0" w:line="240" w:lineRule="auto"/>
        <w:jc w:val="both"/>
        <w:rPr>
          <w:rFonts w:ascii="Tahoma" w:hAnsi="Tahoma" w:cs="Tahoma"/>
          <w:sz w:val="21"/>
          <w:szCs w:val="21"/>
          <w:lang w:val="x-none"/>
        </w:rPr>
      </w:pPr>
      <w:r w:rsidRPr="000008E4">
        <w:rPr>
          <w:rFonts w:ascii="Tahoma" w:hAnsi="Tahoma" w:cs="Tahoma"/>
          <w:sz w:val="21"/>
          <w:szCs w:val="21"/>
          <w:lang w:val="x-none"/>
        </w:rPr>
        <w:t xml:space="preserve">Předmět díla bude proveden v nejlepší kvalitě a v souladu s příslušnými normami a předpisy platnými v době provádění díla, zejména zákonem </w:t>
      </w:r>
      <w:r w:rsidRPr="000008E4">
        <w:rPr>
          <w:rFonts w:ascii="Tahoma" w:hAnsi="Tahoma" w:cs="Tahoma"/>
          <w:sz w:val="21"/>
          <w:szCs w:val="21"/>
        </w:rPr>
        <w:t>č. 283/2021 Sb., stavební zákon, ve znění pozdějších předpisů</w:t>
      </w:r>
      <w:r w:rsidRPr="000008E4">
        <w:rPr>
          <w:rFonts w:ascii="Tahoma" w:hAnsi="Tahoma" w:cs="Tahoma"/>
          <w:sz w:val="21"/>
          <w:szCs w:val="21"/>
          <w:lang w:val="x-none"/>
        </w:rPr>
        <w:t xml:space="preserve"> a prováděcími předpisy, českými technickými a evropskými normami</w:t>
      </w:r>
      <w:r w:rsidRPr="000008E4">
        <w:rPr>
          <w:rFonts w:ascii="Tahoma" w:hAnsi="Tahoma" w:cs="Tahoma"/>
          <w:sz w:val="21"/>
          <w:szCs w:val="21"/>
        </w:rPr>
        <w:t>.</w:t>
      </w:r>
    </w:p>
    <w:p w14:paraId="3969D276" w14:textId="77777777" w:rsidR="002974DA" w:rsidRPr="000008E4" w:rsidRDefault="002974DA" w:rsidP="002974DA">
      <w:pPr>
        <w:ind w:left="720"/>
        <w:contextualSpacing/>
        <w:rPr>
          <w:rFonts w:ascii="Tahoma" w:hAnsi="Tahoma" w:cs="Tahoma"/>
          <w:sz w:val="21"/>
          <w:szCs w:val="21"/>
          <w:lang w:val="x-none"/>
        </w:rPr>
      </w:pPr>
    </w:p>
    <w:p w14:paraId="2BBBCE10" w14:textId="77777777"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Za řádně provedené dílo se považuje takové,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 </w:t>
      </w:r>
    </w:p>
    <w:p w14:paraId="5EDD0371" w14:textId="77777777" w:rsidR="002974DA" w:rsidRPr="000008E4" w:rsidRDefault="002974DA" w:rsidP="002974DA">
      <w:pPr>
        <w:ind w:left="720"/>
        <w:contextualSpacing/>
        <w:rPr>
          <w:rFonts w:ascii="Tahoma" w:hAnsi="Tahoma" w:cs="Tahoma"/>
          <w:sz w:val="21"/>
          <w:szCs w:val="21"/>
        </w:rPr>
      </w:pPr>
    </w:p>
    <w:p w14:paraId="5FD9F8C4" w14:textId="77777777"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Zhotovitel je povinen objednateli dílo, resp. jeho dílčí část (PD pro vydání povolení záměru, DPS) v dostatečném předstihu před sjednaným termínem plnění v nezbytném rozsahu představit a obhájit. Objednatel dílo prohlédne, a buď dílo vrátí zhotoviteli s vytčením vad a nedodělků nebo protokolárně dílo odsouhlasí a převezme. Po odstranění nedodělků a případných vad bude dílo opět předloženo k odsouhlasení a převzetí. Kompletní dílo však musí být předáno v termínu dle této smlouvy v čistopise a vytištěno v předepsaném počtu </w:t>
      </w:r>
      <w:proofErr w:type="spellStart"/>
      <w:r w:rsidRPr="000008E4">
        <w:rPr>
          <w:rFonts w:ascii="Tahoma" w:hAnsi="Tahoma" w:cs="Tahoma"/>
          <w:sz w:val="21"/>
          <w:szCs w:val="21"/>
        </w:rPr>
        <w:t>paré</w:t>
      </w:r>
      <w:proofErr w:type="spellEnd"/>
      <w:r w:rsidRPr="000008E4">
        <w:rPr>
          <w:rFonts w:ascii="Tahoma" w:hAnsi="Tahoma" w:cs="Tahoma"/>
          <w:sz w:val="21"/>
          <w:szCs w:val="21"/>
        </w:rPr>
        <w:t xml:space="preserve"> dle této smlouvy. </w:t>
      </w:r>
    </w:p>
    <w:p w14:paraId="749DFE96" w14:textId="77777777" w:rsidR="002974DA" w:rsidRPr="000008E4" w:rsidRDefault="002974DA" w:rsidP="003B14D5">
      <w:pPr>
        <w:keepNext/>
        <w:spacing w:after="0"/>
        <w:ind w:left="284" w:hanging="284"/>
        <w:jc w:val="center"/>
        <w:rPr>
          <w:rFonts w:ascii="Tahoma" w:hAnsi="Tahoma" w:cs="Tahoma"/>
          <w:b/>
          <w:bCs/>
          <w:sz w:val="21"/>
          <w:szCs w:val="21"/>
          <w:lang w:val="x-none"/>
        </w:rPr>
      </w:pPr>
      <w:r w:rsidRPr="000008E4">
        <w:rPr>
          <w:rFonts w:ascii="Tahoma" w:hAnsi="Tahoma" w:cs="Tahoma"/>
          <w:b/>
          <w:bCs/>
          <w:sz w:val="21"/>
          <w:szCs w:val="21"/>
          <w:lang w:val="x-none"/>
        </w:rPr>
        <w:lastRenderedPageBreak/>
        <w:t xml:space="preserve">článek 4 </w:t>
      </w:r>
    </w:p>
    <w:p w14:paraId="6C3CBE5F" w14:textId="77777777" w:rsidR="002974DA" w:rsidRPr="000008E4" w:rsidRDefault="002974DA" w:rsidP="002974DA">
      <w:pPr>
        <w:keepNext/>
        <w:ind w:left="284" w:hanging="284"/>
        <w:jc w:val="center"/>
        <w:rPr>
          <w:rFonts w:ascii="Tahoma" w:hAnsi="Tahoma" w:cs="Tahoma"/>
          <w:b/>
          <w:bCs/>
          <w:sz w:val="21"/>
          <w:szCs w:val="21"/>
        </w:rPr>
      </w:pPr>
      <w:r w:rsidRPr="000008E4">
        <w:rPr>
          <w:rFonts w:ascii="Tahoma" w:hAnsi="Tahoma" w:cs="Tahoma"/>
          <w:b/>
          <w:bCs/>
          <w:sz w:val="21"/>
          <w:szCs w:val="21"/>
          <w:lang w:val="x-none"/>
        </w:rPr>
        <w:tab/>
        <w:t>Cena a platební podmínky</w:t>
      </w:r>
    </w:p>
    <w:p w14:paraId="10127019" w14:textId="77777777" w:rsidR="002974DA" w:rsidRPr="000008E4" w:rsidRDefault="002974DA" w:rsidP="002974DA">
      <w:pPr>
        <w:numPr>
          <w:ilvl w:val="1"/>
          <w:numId w:val="3"/>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 xml:space="preserve">Cena za plnění dle čl. 2 této smlouvy je sjednána stranami na základě cenové nabídky zhotovitele </w:t>
      </w:r>
      <w:r w:rsidRPr="000008E4">
        <w:rPr>
          <w:rFonts w:ascii="Tahoma" w:hAnsi="Tahoma" w:cs="Tahoma"/>
          <w:sz w:val="21"/>
          <w:szCs w:val="21"/>
        </w:rPr>
        <w:t xml:space="preserve">a požadavků objednatele </w:t>
      </w:r>
      <w:r w:rsidRPr="000008E4">
        <w:rPr>
          <w:rFonts w:ascii="Tahoma" w:hAnsi="Tahoma" w:cs="Tahoma"/>
          <w:sz w:val="21"/>
          <w:szCs w:val="21"/>
          <w:lang w:val="x-none"/>
        </w:rPr>
        <w:t>následovně:</w:t>
      </w:r>
    </w:p>
    <w:p w14:paraId="00709758" w14:textId="77777777" w:rsidR="007A5881" w:rsidRDefault="007A5881" w:rsidP="007A5881">
      <w:pPr>
        <w:spacing w:after="120"/>
        <w:jc w:val="both"/>
        <w:rPr>
          <w:rFonts w:ascii="Tahoma" w:hAnsi="Tahoma" w:cs="Tahoma"/>
          <w:color w:val="000000" w:themeColor="text1"/>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7"/>
        <w:gridCol w:w="1276"/>
        <w:gridCol w:w="1276"/>
        <w:gridCol w:w="1134"/>
        <w:gridCol w:w="1417"/>
      </w:tblGrid>
      <w:tr w:rsidR="007A5881" w:rsidRPr="00AF5023" w14:paraId="297BB5A4" w14:textId="77777777" w:rsidTr="006A3BAE">
        <w:tc>
          <w:tcPr>
            <w:tcW w:w="2126" w:type="dxa"/>
            <w:vAlign w:val="center"/>
          </w:tcPr>
          <w:p w14:paraId="7A6ABBF8" w14:textId="77777777" w:rsidR="007A5881" w:rsidRDefault="007A5881" w:rsidP="006A3BAE">
            <w:pPr>
              <w:keepLines/>
              <w:suppressAutoHyphens/>
              <w:ind w:left="360"/>
              <w:jc w:val="both"/>
              <w:rPr>
                <w:rFonts w:ascii="Tahoma" w:hAnsi="Tahoma" w:cs="Tahoma"/>
                <w:b/>
                <w:sz w:val="21"/>
                <w:szCs w:val="21"/>
              </w:rPr>
            </w:pPr>
          </w:p>
          <w:p w14:paraId="6BBA115A" w14:textId="77777777" w:rsidR="007A5881" w:rsidRPr="00AF5023" w:rsidRDefault="007A5881" w:rsidP="006A3BAE">
            <w:pPr>
              <w:tabs>
                <w:tab w:val="left" w:pos="993"/>
              </w:tabs>
              <w:autoSpaceDE w:val="0"/>
              <w:autoSpaceDN w:val="0"/>
              <w:adjustRightInd w:val="0"/>
              <w:spacing w:before="120" w:after="120"/>
              <w:ind w:left="720" w:right="851"/>
              <w:rPr>
                <w:rFonts w:ascii="Tahoma" w:hAnsi="Tahoma" w:cs="Tahoma"/>
                <w:b/>
                <w:color w:val="000000"/>
                <w:sz w:val="21"/>
                <w:szCs w:val="21"/>
              </w:rPr>
            </w:pPr>
          </w:p>
        </w:tc>
        <w:tc>
          <w:tcPr>
            <w:tcW w:w="1417" w:type="dxa"/>
            <w:tcMar>
              <w:top w:w="0" w:type="dxa"/>
              <w:left w:w="0" w:type="dxa"/>
              <w:bottom w:w="0" w:type="dxa"/>
              <w:right w:w="0" w:type="dxa"/>
            </w:tcMar>
            <w:vAlign w:val="center"/>
            <w:hideMark/>
          </w:tcPr>
          <w:p w14:paraId="5C38A39A"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Jednotková cena za </w:t>
            </w:r>
            <w:proofErr w:type="gramStart"/>
            <w:r w:rsidRPr="00AF5023">
              <w:rPr>
                <w:rFonts w:ascii="Tahoma" w:hAnsi="Tahoma" w:cs="Tahoma"/>
                <w:b/>
                <w:color w:val="000000"/>
                <w:sz w:val="21"/>
                <w:szCs w:val="21"/>
              </w:rPr>
              <w:t>1h</w:t>
            </w:r>
            <w:proofErr w:type="gramEnd"/>
            <w:r w:rsidRPr="00AF5023">
              <w:rPr>
                <w:rFonts w:ascii="Tahoma" w:hAnsi="Tahoma" w:cs="Tahoma"/>
                <w:b/>
                <w:color w:val="000000"/>
                <w:sz w:val="21"/>
                <w:szCs w:val="21"/>
              </w:rPr>
              <w:t xml:space="preserve"> v Kč bez DPH</w:t>
            </w:r>
          </w:p>
        </w:tc>
        <w:tc>
          <w:tcPr>
            <w:tcW w:w="1276" w:type="dxa"/>
            <w:tcMar>
              <w:top w:w="0" w:type="dxa"/>
              <w:left w:w="0" w:type="dxa"/>
              <w:bottom w:w="0" w:type="dxa"/>
              <w:right w:w="0" w:type="dxa"/>
            </w:tcMar>
            <w:vAlign w:val="center"/>
            <w:hideMark/>
          </w:tcPr>
          <w:p w14:paraId="03E9392B"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počet jednotek</w:t>
            </w:r>
          </w:p>
        </w:tc>
        <w:tc>
          <w:tcPr>
            <w:tcW w:w="1276" w:type="dxa"/>
            <w:vAlign w:val="center"/>
            <w:hideMark/>
          </w:tcPr>
          <w:p w14:paraId="2542E18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bez DPH</w:t>
            </w:r>
          </w:p>
        </w:tc>
        <w:tc>
          <w:tcPr>
            <w:tcW w:w="1134" w:type="dxa"/>
            <w:vAlign w:val="center"/>
            <w:hideMark/>
          </w:tcPr>
          <w:p w14:paraId="11D255F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DPH </w:t>
            </w:r>
          </w:p>
          <w:p w14:paraId="4D3832AE"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21 %</w:t>
            </w:r>
          </w:p>
        </w:tc>
        <w:tc>
          <w:tcPr>
            <w:tcW w:w="1417" w:type="dxa"/>
            <w:tcMar>
              <w:top w:w="0" w:type="dxa"/>
              <w:left w:w="0" w:type="dxa"/>
              <w:bottom w:w="0" w:type="dxa"/>
              <w:right w:w="0" w:type="dxa"/>
            </w:tcMar>
            <w:vAlign w:val="center"/>
            <w:hideMark/>
          </w:tcPr>
          <w:p w14:paraId="7FFD0A29"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včetně DPH</w:t>
            </w:r>
          </w:p>
        </w:tc>
      </w:tr>
      <w:tr w:rsidR="007A5881" w:rsidRPr="00AF5023" w14:paraId="27106DAC" w14:textId="77777777" w:rsidTr="006A3BAE">
        <w:tc>
          <w:tcPr>
            <w:tcW w:w="2126" w:type="dxa"/>
          </w:tcPr>
          <w:p w14:paraId="09F41A0A" w14:textId="77777777" w:rsidR="007A5881" w:rsidRDefault="007A5881" w:rsidP="006A3BAE">
            <w:pPr>
              <w:tabs>
                <w:tab w:val="right" w:pos="8460"/>
              </w:tabs>
              <w:jc w:val="center"/>
              <w:rPr>
                <w:rFonts w:ascii="Tahoma" w:hAnsi="Tahoma" w:cs="Tahoma"/>
                <w:sz w:val="21"/>
                <w:szCs w:val="21"/>
              </w:rPr>
            </w:pPr>
          </w:p>
          <w:p w14:paraId="7497B3B7" w14:textId="77777777" w:rsidR="007A5881" w:rsidRPr="00AA1954" w:rsidRDefault="007A5881" w:rsidP="006A3BAE">
            <w:pPr>
              <w:tabs>
                <w:tab w:val="right" w:pos="8460"/>
              </w:tabs>
              <w:jc w:val="center"/>
              <w:rPr>
                <w:rFonts w:ascii="Tahoma" w:hAnsi="Tahoma" w:cs="Tahoma"/>
                <w:sz w:val="21"/>
                <w:szCs w:val="21"/>
              </w:rPr>
            </w:pPr>
            <w:r>
              <w:rPr>
                <w:rFonts w:ascii="Tahoma" w:hAnsi="Tahoma" w:cs="Tahoma"/>
                <w:sz w:val="21"/>
                <w:szCs w:val="21"/>
              </w:rPr>
              <w:t xml:space="preserve">Zpracování </w:t>
            </w:r>
            <w:r w:rsidRPr="007830FF">
              <w:rPr>
                <w:rFonts w:ascii="Tahoma" w:hAnsi="Tahoma" w:cs="Tahoma"/>
                <w:sz w:val="21"/>
                <w:szCs w:val="21"/>
              </w:rPr>
              <w:t xml:space="preserve">projektové dokumentace pro </w:t>
            </w:r>
            <w:r>
              <w:rPr>
                <w:rFonts w:ascii="Tahoma" w:hAnsi="Tahoma" w:cs="Tahoma"/>
                <w:sz w:val="21"/>
                <w:szCs w:val="21"/>
              </w:rPr>
              <w:t>vydání povolení záměru                  vč. geodetického zaměření, plánu BOZP</w:t>
            </w:r>
          </w:p>
        </w:tc>
        <w:tc>
          <w:tcPr>
            <w:tcW w:w="1417" w:type="dxa"/>
            <w:shd w:val="diagStripe" w:color="auto" w:fill="auto"/>
          </w:tcPr>
          <w:p w14:paraId="7AD67B9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highlight w:val="yellow"/>
              </w:rPr>
            </w:pPr>
          </w:p>
        </w:tc>
        <w:tc>
          <w:tcPr>
            <w:tcW w:w="1276" w:type="dxa"/>
            <w:shd w:val="diagStripe" w:color="auto" w:fill="auto"/>
          </w:tcPr>
          <w:p w14:paraId="1151849E"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7F594CA1"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1FDDB546"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178010C7"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3E34B0B8" w14:textId="77777777" w:rsidTr="006A3BAE">
        <w:tc>
          <w:tcPr>
            <w:tcW w:w="2126" w:type="dxa"/>
          </w:tcPr>
          <w:p w14:paraId="3C4C2EFC" w14:textId="77777777" w:rsidR="007A5881" w:rsidRDefault="007A5881" w:rsidP="006A3BAE">
            <w:pPr>
              <w:pStyle w:val="Odstavecseseznamem"/>
              <w:autoSpaceDE w:val="0"/>
              <w:autoSpaceDN w:val="0"/>
              <w:adjustRightInd w:val="0"/>
              <w:spacing w:before="120" w:after="120"/>
              <w:ind w:left="0"/>
              <w:jc w:val="center"/>
              <w:rPr>
                <w:rFonts w:ascii="Tahoma" w:hAnsi="Tahoma" w:cs="Tahoma"/>
                <w:sz w:val="21"/>
                <w:szCs w:val="21"/>
              </w:rPr>
            </w:pPr>
          </w:p>
          <w:p w14:paraId="51B348AC" w14:textId="6B4A8E34" w:rsidR="007A5881" w:rsidRPr="00503243" w:rsidRDefault="007A5881" w:rsidP="006A3BAE">
            <w:pPr>
              <w:pStyle w:val="Odstavecseseznamem"/>
              <w:autoSpaceDE w:val="0"/>
              <w:autoSpaceDN w:val="0"/>
              <w:adjustRightInd w:val="0"/>
              <w:spacing w:before="120" w:after="120"/>
              <w:ind w:left="0"/>
              <w:jc w:val="center"/>
              <w:rPr>
                <w:rFonts w:ascii="Tahoma" w:hAnsi="Tahoma" w:cs="Tahoma"/>
                <w:sz w:val="21"/>
                <w:szCs w:val="21"/>
              </w:rPr>
            </w:pPr>
            <w:r>
              <w:rPr>
                <w:rFonts w:ascii="Tahoma" w:hAnsi="Tahoma" w:cs="Tahoma"/>
                <w:sz w:val="21"/>
                <w:szCs w:val="21"/>
              </w:rPr>
              <w:t xml:space="preserve">Inženýrská činnost pro vydání </w:t>
            </w:r>
            <w:r w:rsidR="002006CF">
              <w:rPr>
                <w:rFonts w:ascii="Tahoma" w:hAnsi="Tahoma" w:cs="Tahoma"/>
                <w:sz w:val="21"/>
                <w:szCs w:val="21"/>
              </w:rPr>
              <w:t>povolení záměru</w:t>
            </w:r>
            <w:r>
              <w:rPr>
                <w:rFonts w:ascii="Tahoma" w:hAnsi="Tahoma" w:cs="Tahoma"/>
                <w:sz w:val="21"/>
                <w:szCs w:val="21"/>
              </w:rPr>
              <w:t xml:space="preserve"> </w:t>
            </w:r>
          </w:p>
        </w:tc>
        <w:tc>
          <w:tcPr>
            <w:tcW w:w="1417" w:type="dxa"/>
            <w:shd w:val="diagStripe" w:color="auto" w:fill="auto"/>
          </w:tcPr>
          <w:p w14:paraId="65F7C121"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shd w:val="diagStripe" w:color="auto" w:fill="auto"/>
          </w:tcPr>
          <w:p w14:paraId="6CB8F63D"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0ECB678B"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2C4FE9D5"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10CA5BE9"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0D933A91" w14:textId="77777777" w:rsidTr="006A3BAE">
        <w:tc>
          <w:tcPr>
            <w:tcW w:w="2126" w:type="dxa"/>
          </w:tcPr>
          <w:p w14:paraId="066C49BB" w14:textId="77777777" w:rsidR="007A5881" w:rsidRPr="00AA1954" w:rsidRDefault="007A5881" w:rsidP="006A3BAE">
            <w:pPr>
              <w:pStyle w:val="Odstavecseseznamem"/>
              <w:autoSpaceDE w:val="0"/>
              <w:autoSpaceDN w:val="0"/>
              <w:adjustRightInd w:val="0"/>
              <w:spacing w:before="120" w:after="120"/>
              <w:ind w:left="0" w:right="34"/>
              <w:jc w:val="center"/>
              <w:rPr>
                <w:rFonts w:ascii="Tahoma" w:hAnsi="Tahoma" w:cs="Tahoma"/>
                <w:sz w:val="21"/>
                <w:szCs w:val="21"/>
              </w:rPr>
            </w:pPr>
            <w:r>
              <w:rPr>
                <w:rFonts w:ascii="Tahoma" w:hAnsi="Tahoma" w:cs="Tahoma"/>
                <w:sz w:val="21"/>
                <w:szCs w:val="21"/>
              </w:rPr>
              <w:t>Zpracování dokumentace pro provádění stavby</w:t>
            </w:r>
          </w:p>
        </w:tc>
        <w:tc>
          <w:tcPr>
            <w:tcW w:w="1417" w:type="dxa"/>
            <w:shd w:val="diagStripe" w:color="auto" w:fill="auto"/>
          </w:tcPr>
          <w:p w14:paraId="035537F8"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shd w:val="diagStripe" w:color="auto" w:fill="auto"/>
          </w:tcPr>
          <w:p w14:paraId="7750DEE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74857FB8"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4081A137"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4812A00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60BC322B" w14:textId="77777777" w:rsidTr="006A3BAE">
        <w:tc>
          <w:tcPr>
            <w:tcW w:w="2126" w:type="dxa"/>
            <w:vAlign w:val="center"/>
            <w:hideMark/>
          </w:tcPr>
          <w:p w14:paraId="643A7B5B" w14:textId="5879BA92" w:rsidR="007A5881" w:rsidRPr="00F51A65" w:rsidRDefault="007A5881" w:rsidP="006A3BAE">
            <w:pPr>
              <w:pStyle w:val="Odstavecseseznamem"/>
              <w:tabs>
                <w:tab w:val="left" w:pos="993"/>
              </w:tabs>
              <w:autoSpaceDE w:val="0"/>
              <w:autoSpaceDN w:val="0"/>
              <w:adjustRightInd w:val="0"/>
              <w:ind w:left="0" w:right="38"/>
              <w:rPr>
                <w:rFonts w:ascii="Tahoma" w:hAnsi="Tahoma" w:cs="Tahoma"/>
                <w:bCs/>
                <w:color w:val="000000"/>
                <w:sz w:val="21"/>
                <w:szCs w:val="21"/>
                <w:vertAlign w:val="superscript"/>
              </w:rPr>
            </w:pPr>
            <w:r w:rsidRPr="00AF5023">
              <w:rPr>
                <w:rFonts w:ascii="Tahoma" w:hAnsi="Tahoma" w:cs="Tahoma"/>
                <w:bCs/>
                <w:iCs/>
                <w:sz w:val="21"/>
                <w:szCs w:val="21"/>
              </w:rPr>
              <w:t xml:space="preserve">Celková výše odměny za </w:t>
            </w:r>
            <w:proofErr w:type="gramStart"/>
            <w:r w:rsidRPr="00AF5023">
              <w:rPr>
                <w:rFonts w:ascii="Tahoma" w:hAnsi="Tahoma" w:cs="Tahoma"/>
                <w:bCs/>
                <w:iCs/>
                <w:sz w:val="21"/>
                <w:szCs w:val="21"/>
              </w:rPr>
              <w:t>výkon  dozoru</w:t>
            </w:r>
            <w:proofErr w:type="gramEnd"/>
            <w:r w:rsidR="00C65297">
              <w:rPr>
                <w:rFonts w:ascii="Tahoma" w:hAnsi="Tahoma" w:cs="Tahoma"/>
                <w:bCs/>
                <w:iCs/>
                <w:sz w:val="21"/>
                <w:szCs w:val="21"/>
              </w:rPr>
              <w:t xml:space="preserve"> projektanta</w:t>
            </w:r>
            <w:r w:rsidRPr="00AF5023">
              <w:rPr>
                <w:rFonts w:ascii="Tahoma" w:hAnsi="Tahoma" w:cs="Tahoma"/>
                <w:bCs/>
                <w:iCs/>
                <w:sz w:val="21"/>
                <w:szCs w:val="21"/>
              </w:rPr>
              <w:t xml:space="preserve"> – </w:t>
            </w:r>
            <w:r>
              <w:rPr>
                <w:rFonts w:ascii="Tahoma" w:hAnsi="Tahoma" w:cs="Tahoma"/>
                <w:bCs/>
                <w:iCs/>
                <w:sz w:val="21"/>
                <w:szCs w:val="21"/>
              </w:rPr>
              <w:t>30 h</w:t>
            </w:r>
            <w:r w:rsidRPr="00AF5023">
              <w:rPr>
                <w:rFonts w:ascii="Tahoma" w:hAnsi="Tahoma" w:cs="Tahoma"/>
                <w:bCs/>
                <w:iCs/>
                <w:sz w:val="21"/>
                <w:szCs w:val="21"/>
              </w:rPr>
              <w:t>odin</w:t>
            </w:r>
            <w:r w:rsidRPr="003B14D5">
              <w:rPr>
                <w:rFonts w:ascii="Tahoma" w:hAnsi="Tahoma" w:cs="Tahoma"/>
                <w:b/>
                <w:bCs/>
                <w:iCs/>
                <w:sz w:val="21"/>
                <w:szCs w:val="21"/>
                <w:vertAlign w:val="superscript"/>
              </w:rPr>
              <w:t>*</w:t>
            </w:r>
          </w:p>
        </w:tc>
        <w:tc>
          <w:tcPr>
            <w:tcW w:w="1417" w:type="dxa"/>
            <w:vAlign w:val="center"/>
            <w:hideMark/>
          </w:tcPr>
          <w:p w14:paraId="329B321E"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6" w:type="dxa"/>
            <w:vAlign w:val="center"/>
            <w:hideMark/>
          </w:tcPr>
          <w:p w14:paraId="06DE7D7F" w14:textId="77777777" w:rsidR="007A5881" w:rsidRPr="008837BF" w:rsidRDefault="007A5881" w:rsidP="006A3BAE">
            <w:pPr>
              <w:autoSpaceDE w:val="0"/>
              <w:autoSpaceDN w:val="0"/>
              <w:adjustRightInd w:val="0"/>
              <w:spacing w:before="120" w:after="120"/>
              <w:ind w:right="44"/>
              <w:jc w:val="center"/>
              <w:rPr>
                <w:rFonts w:ascii="Tahoma" w:hAnsi="Tahoma" w:cs="Tahoma"/>
                <w:b/>
                <w:sz w:val="21"/>
                <w:szCs w:val="21"/>
              </w:rPr>
            </w:pPr>
            <w:r>
              <w:rPr>
                <w:rFonts w:ascii="Tahoma" w:hAnsi="Tahoma" w:cs="Tahoma"/>
                <w:b/>
                <w:sz w:val="21"/>
                <w:szCs w:val="21"/>
              </w:rPr>
              <w:t>3</w:t>
            </w:r>
            <w:r w:rsidRPr="008837BF">
              <w:rPr>
                <w:rFonts w:ascii="Tahoma" w:hAnsi="Tahoma" w:cs="Tahoma"/>
                <w:b/>
                <w:sz w:val="21"/>
                <w:szCs w:val="21"/>
              </w:rPr>
              <w:t xml:space="preserve">0 </w:t>
            </w:r>
          </w:p>
        </w:tc>
        <w:tc>
          <w:tcPr>
            <w:tcW w:w="1276" w:type="dxa"/>
            <w:vAlign w:val="center"/>
            <w:hideMark/>
          </w:tcPr>
          <w:p w14:paraId="20812763"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hideMark/>
          </w:tcPr>
          <w:p w14:paraId="15D0C7ED"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hideMark/>
          </w:tcPr>
          <w:p w14:paraId="0592831A"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766F3E2F" w14:textId="77777777" w:rsidTr="006A3BAE">
        <w:tc>
          <w:tcPr>
            <w:tcW w:w="2126" w:type="dxa"/>
          </w:tcPr>
          <w:p w14:paraId="2EDD7E87"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p w14:paraId="024BD1E5" w14:textId="77777777" w:rsidR="007A5881" w:rsidRDefault="007A5881" w:rsidP="006A3BAE">
            <w:pPr>
              <w:keepLines/>
              <w:suppressAutoHyphens/>
              <w:ind w:left="64" w:hanging="142"/>
              <w:rPr>
                <w:rFonts w:ascii="Tahoma" w:hAnsi="Tahoma" w:cs="Tahoma"/>
                <w:b/>
                <w:color w:val="000000"/>
                <w:sz w:val="21"/>
                <w:szCs w:val="21"/>
              </w:rPr>
            </w:pPr>
            <w:r w:rsidRPr="00AF5023">
              <w:rPr>
                <w:rFonts w:ascii="Tahoma" w:hAnsi="Tahoma" w:cs="Tahoma"/>
                <w:b/>
                <w:color w:val="000000"/>
                <w:sz w:val="21"/>
                <w:szCs w:val="21"/>
              </w:rPr>
              <w:t>Cena</w:t>
            </w:r>
            <w:r>
              <w:rPr>
                <w:rFonts w:ascii="Tahoma" w:hAnsi="Tahoma" w:cs="Tahoma"/>
                <w:b/>
                <w:color w:val="000000"/>
                <w:sz w:val="21"/>
                <w:szCs w:val="21"/>
              </w:rPr>
              <w:t xml:space="preserve"> </w:t>
            </w:r>
            <w:r w:rsidRPr="00AF5023">
              <w:rPr>
                <w:rFonts w:ascii="Tahoma" w:hAnsi="Tahoma" w:cs="Tahoma"/>
                <w:b/>
                <w:color w:val="000000"/>
                <w:sz w:val="21"/>
                <w:szCs w:val="21"/>
              </w:rPr>
              <w:t xml:space="preserve">celkem </w:t>
            </w:r>
          </w:p>
          <w:p w14:paraId="31BFF14B"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p w14:paraId="2B989F72"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tc>
        <w:tc>
          <w:tcPr>
            <w:tcW w:w="1417" w:type="dxa"/>
            <w:shd w:val="diagStripe" w:color="auto" w:fill="auto"/>
          </w:tcPr>
          <w:p w14:paraId="192990B0"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c>
          <w:tcPr>
            <w:tcW w:w="1276" w:type="dxa"/>
            <w:shd w:val="diagStripe" w:color="auto" w:fill="auto"/>
          </w:tcPr>
          <w:p w14:paraId="6AA07339"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c>
          <w:tcPr>
            <w:tcW w:w="1276" w:type="dxa"/>
            <w:vAlign w:val="center"/>
            <w:hideMark/>
          </w:tcPr>
          <w:p w14:paraId="28712FE5"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134" w:type="dxa"/>
            <w:vAlign w:val="center"/>
            <w:hideMark/>
          </w:tcPr>
          <w:p w14:paraId="19472408"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417" w:type="dxa"/>
            <w:vAlign w:val="center"/>
          </w:tcPr>
          <w:p w14:paraId="593E177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p w14:paraId="3E16A118"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p w14:paraId="052EFB66"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r>
    </w:tbl>
    <w:p w14:paraId="24B191E1" w14:textId="77777777" w:rsidR="007A5881" w:rsidRDefault="007A5881" w:rsidP="007A5881">
      <w:pPr>
        <w:tabs>
          <w:tab w:val="left" w:pos="1440"/>
        </w:tabs>
        <w:spacing w:after="120"/>
        <w:jc w:val="both"/>
        <w:rPr>
          <w:rFonts w:ascii="Tahoma" w:hAnsi="Tahoma" w:cs="Tahoma"/>
          <w:color w:val="000000"/>
          <w:sz w:val="21"/>
          <w:szCs w:val="21"/>
        </w:rPr>
      </w:pPr>
    </w:p>
    <w:p w14:paraId="280F3971" w14:textId="77777777" w:rsidR="002974DA" w:rsidRPr="000008E4" w:rsidRDefault="002974DA" w:rsidP="002974DA">
      <w:pPr>
        <w:tabs>
          <w:tab w:val="left" w:pos="1440"/>
        </w:tabs>
        <w:spacing w:after="120"/>
        <w:jc w:val="both"/>
        <w:rPr>
          <w:rFonts w:ascii="Tahoma" w:hAnsi="Tahoma" w:cs="Tahoma"/>
          <w:color w:val="000000"/>
          <w:sz w:val="21"/>
          <w:szCs w:val="21"/>
        </w:rPr>
      </w:pPr>
    </w:p>
    <w:p w14:paraId="6B1B702D" w14:textId="39E5AA11" w:rsidR="002974DA" w:rsidRPr="000008E4" w:rsidRDefault="002974DA" w:rsidP="002974DA">
      <w:pPr>
        <w:tabs>
          <w:tab w:val="left" w:pos="1440"/>
        </w:tabs>
        <w:spacing w:after="120"/>
        <w:ind w:left="142" w:hanging="142"/>
        <w:jc w:val="both"/>
        <w:rPr>
          <w:rFonts w:ascii="Tahoma" w:hAnsi="Tahoma" w:cs="Tahoma"/>
          <w:color w:val="000000"/>
          <w:sz w:val="21"/>
          <w:szCs w:val="21"/>
        </w:rPr>
      </w:pPr>
      <w:r w:rsidRPr="000008E4">
        <w:rPr>
          <w:rFonts w:ascii="Tahoma" w:hAnsi="Tahoma" w:cs="Tahoma"/>
          <w:color w:val="000000"/>
          <w:sz w:val="21"/>
          <w:szCs w:val="21"/>
          <w:vertAlign w:val="superscript"/>
        </w:rPr>
        <w:lastRenderedPageBreak/>
        <w:t>*</w:t>
      </w:r>
      <w:r w:rsidRPr="000008E4">
        <w:rPr>
          <w:rFonts w:ascii="Tahoma" w:hAnsi="Tahoma" w:cs="Tahoma"/>
          <w:color w:val="000000"/>
          <w:sz w:val="21"/>
          <w:szCs w:val="21"/>
        </w:rPr>
        <w:t xml:space="preserve">Strany smlouvy berou na vědomí, že jednotková cena dozoru </w:t>
      </w:r>
      <w:r w:rsidR="00C65297">
        <w:rPr>
          <w:rFonts w:ascii="Tahoma" w:hAnsi="Tahoma" w:cs="Tahoma"/>
          <w:color w:val="000000"/>
          <w:sz w:val="21"/>
          <w:szCs w:val="21"/>
        </w:rPr>
        <w:t xml:space="preserve">projektanta </w:t>
      </w:r>
      <w:r w:rsidRPr="000008E4">
        <w:rPr>
          <w:rFonts w:ascii="Tahoma" w:hAnsi="Tahoma" w:cs="Tahoma"/>
          <w:color w:val="000000"/>
          <w:sz w:val="21"/>
          <w:szCs w:val="21"/>
        </w:rPr>
        <w:t xml:space="preserve">a předpokládaný rozsah </w:t>
      </w:r>
      <w:r w:rsidR="007A5881">
        <w:rPr>
          <w:rFonts w:ascii="Tahoma" w:hAnsi="Tahoma" w:cs="Tahoma"/>
          <w:color w:val="000000"/>
          <w:sz w:val="21"/>
          <w:szCs w:val="21"/>
        </w:rPr>
        <w:t>3</w:t>
      </w:r>
      <w:r w:rsidRPr="000008E4">
        <w:rPr>
          <w:rFonts w:ascii="Tahoma" w:hAnsi="Tahoma" w:cs="Tahoma"/>
          <w:color w:val="000000"/>
          <w:sz w:val="21"/>
          <w:szCs w:val="21"/>
        </w:rPr>
        <w:t>0 hodin je uváděn jako předpokládaný pro účely hodnocení nabídek v rámci poptávkového řízení; skutečná cena výkonu autorského dozoru bude účtována dle jednotkové ceny a skutečného rozsahu výkonu dozoru</w:t>
      </w:r>
      <w:r w:rsidR="00133F79">
        <w:rPr>
          <w:rFonts w:ascii="Tahoma" w:hAnsi="Tahoma" w:cs="Tahoma"/>
          <w:color w:val="000000"/>
          <w:sz w:val="21"/>
          <w:szCs w:val="21"/>
        </w:rPr>
        <w:t xml:space="preserve"> projektanta</w:t>
      </w:r>
      <w:r w:rsidRPr="000008E4">
        <w:rPr>
          <w:rFonts w:ascii="Tahoma" w:hAnsi="Tahoma" w:cs="Tahoma"/>
          <w:color w:val="000000"/>
          <w:sz w:val="21"/>
          <w:szCs w:val="21"/>
        </w:rPr>
        <w:t xml:space="preserve"> dle odst. 3 tohoto článku smlouvy.  </w:t>
      </w:r>
    </w:p>
    <w:p w14:paraId="16AB5D2B" w14:textId="77777777" w:rsidR="002974DA" w:rsidRPr="000008E4" w:rsidRDefault="002974DA" w:rsidP="003B14D5">
      <w:pPr>
        <w:keepLines/>
        <w:suppressAutoHyphens/>
        <w:spacing w:after="0"/>
        <w:ind w:left="142" w:hanging="142"/>
        <w:rPr>
          <w:rFonts w:ascii="Tahoma" w:hAnsi="Tahoma" w:cs="Tahoma"/>
          <w:sz w:val="21"/>
          <w:szCs w:val="21"/>
          <w:lang w:val="x-none"/>
        </w:rPr>
      </w:pPr>
    </w:p>
    <w:p w14:paraId="472206F9" w14:textId="77777777" w:rsidR="002974DA" w:rsidRPr="000008E4" w:rsidRDefault="002974DA" w:rsidP="002974DA">
      <w:pPr>
        <w:keepLines/>
        <w:numPr>
          <w:ilvl w:val="1"/>
          <w:numId w:val="3"/>
        </w:numPr>
        <w:tabs>
          <w:tab w:val="left" w:pos="3180"/>
        </w:tabs>
        <w:suppressAutoHyphens/>
        <w:spacing w:after="120"/>
        <w:ind w:left="567" w:hanging="567"/>
        <w:jc w:val="both"/>
        <w:rPr>
          <w:rFonts w:ascii="Tahoma" w:hAnsi="Tahoma" w:cs="Tahoma"/>
          <w:sz w:val="21"/>
          <w:szCs w:val="21"/>
        </w:rPr>
      </w:pPr>
      <w:r w:rsidRPr="000008E4">
        <w:rPr>
          <w:rFonts w:ascii="Tahoma" w:hAnsi="Tahoma" w:cs="Tahoma"/>
          <w:sz w:val="21"/>
          <w:szCs w:val="21"/>
        </w:rPr>
        <w:t xml:space="preserve">Nárok na </w:t>
      </w:r>
      <w:r w:rsidRPr="000008E4">
        <w:rPr>
          <w:rFonts w:ascii="Tahoma" w:hAnsi="Tahoma" w:cs="Tahoma"/>
          <w:sz w:val="21"/>
          <w:szCs w:val="21"/>
          <w:lang w:val="x-none"/>
        </w:rPr>
        <w:t>zaplacení</w:t>
      </w:r>
      <w:r w:rsidRPr="000008E4">
        <w:rPr>
          <w:rFonts w:ascii="Tahoma" w:hAnsi="Tahoma" w:cs="Tahoma"/>
          <w:sz w:val="21"/>
          <w:szCs w:val="21"/>
        </w:rPr>
        <w:t xml:space="preserve"> díla vzniká:</w:t>
      </w:r>
    </w:p>
    <w:p w14:paraId="7F725BD0" w14:textId="3ABA2279"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za zpracování projektové dokumentace pro povolení záměru vč. </w:t>
      </w:r>
      <w:r w:rsidR="007A5881">
        <w:rPr>
          <w:rFonts w:ascii="Tahoma" w:hAnsi="Tahoma" w:cs="Tahoma"/>
          <w:sz w:val="21"/>
          <w:szCs w:val="21"/>
        </w:rPr>
        <w:t xml:space="preserve">geodetického zaměření, </w:t>
      </w:r>
      <w:r w:rsidRPr="000008E4">
        <w:rPr>
          <w:rFonts w:ascii="Tahoma" w:hAnsi="Tahoma" w:cs="Tahoma"/>
          <w:sz w:val="21"/>
          <w:szCs w:val="21"/>
        </w:rPr>
        <w:t>inženýrské činnosti, předáním komplexní projektové dokumentace pro povolení záměru, plánu BOZP, odsouhlasené objednatelem bez výhrad ve formě a v počtu sjednaném ve smlouvě; zhotovitel vystaví daňový doklad (fakturu) se lhůtou splatnosti 14 dnů od doručení</w:t>
      </w:r>
      <w:r w:rsidR="00E346E6">
        <w:rPr>
          <w:rFonts w:ascii="Tahoma" w:hAnsi="Tahoma" w:cs="Tahoma"/>
          <w:sz w:val="21"/>
          <w:szCs w:val="21"/>
        </w:rPr>
        <w:t>,</w:t>
      </w:r>
      <w:r w:rsidRPr="000008E4">
        <w:rPr>
          <w:rFonts w:ascii="Tahoma" w:hAnsi="Tahoma" w:cs="Tahoma"/>
          <w:sz w:val="21"/>
          <w:szCs w:val="21"/>
        </w:rPr>
        <w:t xml:space="preserve"> a to do výše 90% celkové ceny dokumentace pro povolení záměru a inženýrské činnosti k zajištění povolení záměru včetně 100% DPH, 10% z celkové ceny této části díla bez DPH uhradí objednatel zhotoviteli po vydání povolení záměru. Tato pozastávka může být započtena v případě náhrady škody související s odstraňováním vad projektové dokumentace tohoto stupně nebo v případě smluvní pokuty sjednané dle této smlouvy. </w:t>
      </w:r>
    </w:p>
    <w:p w14:paraId="61394734" w14:textId="77777777" w:rsidR="002974DA" w:rsidRPr="000008E4" w:rsidRDefault="002974DA" w:rsidP="002974DA">
      <w:pPr>
        <w:ind w:left="720"/>
        <w:contextualSpacing/>
        <w:rPr>
          <w:rFonts w:ascii="Tahoma" w:hAnsi="Tahoma" w:cs="Tahoma"/>
          <w:sz w:val="21"/>
          <w:szCs w:val="21"/>
        </w:rPr>
      </w:pPr>
    </w:p>
    <w:p w14:paraId="6D6D6D7B" w14:textId="77777777"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předáním komplexní projektové dokumentace pro provádění stavby (DPS), odsouhlasené objednatelem bez výhrad ve formě a v počtu sjednaném ve smlouvě; zhotovitel vystaví daňový doklad (fakturu) se lhůtou splatnosti 14 dnů od doručení. </w:t>
      </w:r>
    </w:p>
    <w:p w14:paraId="1A0DEE7D" w14:textId="77777777" w:rsidR="002974DA" w:rsidRPr="000008E4" w:rsidRDefault="002974DA" w:rsidP="002974DA">
      <w:pPr>
        <w:keepLines/>
        <w:suppressAutoHyphens/>
        <w:ind w:left="720"/>
        <w:contextualSpacing/>
        <w:jc w:val="both"/>
        <w:rPr>
          <w:rFonts w:ascii="Tahoma" w:hAnsi="Tahoma" w:cs="Tahoma"/>
          <w:sz w:val="21"/>
          <w:szCs w:val="21"/>
          <w:highlight w:val="yellow"/>
        </w:rPr>
      </w:pPr>
    </w:p>
    <w:p w14:paraId="2382ECFB" w14:textId="702A501A" w:rsidR="002974DA" w:rsidRPr="000008E4"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 xml:space="preserve">Výkon </w:t>
      </w:r>
      <w:r w:rsidR="00E346E6">
        <w:rPr>
          <w:rFonts w:ascii="Tahoma" w:hAnsi="Tahoma" w:cs="Tahoma"/>
          <w:sz w:val="21"/>
          <w:szCs w:val="21"/>
        </w:rPr>
        <w:t>DP</w:t>
      </w:r>
      <w:r w:rsidR="00E346E6" w:rsidRPr="000008E4">
        <w:rPr>
          <w:rFonts w:ascii="Tahoma" w:hAnsi="Tahoma" w:cs="Tahoma"/>
          <w:sz w:val="21"/>
          <w:szCs w:val="21"/>
        </w:rPr>
        <w:t xml:space="preserve"> </w:t>
      </w:r>
      <w:r w:rsidRPr="000008E4">
        <w:rPr>
          <w:rFonts w:ascii="Tahoma" w:hAnsi="Tahoma" w:cs="Tahoma"/>
          <w:sz w:val="21"/>
          <w:szCs w:val="21"/>
        </w:rPr>
        <w:t>bude zhotovitel objednateli fakturovat v měsíčních intervalech, v průběhu realizace stavby od převzetí stavby zhotovitelem do převzetí hotové stavby objednatelem. Faktura za výkon autorského dozoru bude obsahovat objednatelem odsouhlasený soupis počtu hodin skutečně provedeného výkonu D</w:t>
      </w:r>
      <w:r w:rsidR="00E346E6">
        <w:rPr>
          <w:rFonts w:ascii="Tahoma" w:hAnsi="Tahoma" w:cs="Tahoma"/>
          <w:sz w:val="21"/>
          <w:szCs w:val="21"/>
        </w:rPr>
        <w:t>P</w:t>
      </w:r>
      <w:r w:rsidRPr="000008E4">
        <w:rPr>
          <w:rFonts w:ascii="Tahoma" w:hAnsi="Tahoma" w:cs="Tahoma"/>
          <w:sz w:val="21"/>
          <w:szCs w:val="21"/>
        </w:rPr>
        <w:t xml:space="preserve">. Lhůta splatnosti faktury činí 14 dnů od jejího doručení objednateli. Pokud nebude zhotovitel vyzván k poskytnutí plnění autorského dozoru objednatelem, zejména z důvodů, že nebude zadána zakázka na stavební práce, nevznikne zhotoviteli nárok na úhradu za toto dílčí plnění. Zhotovitel nemůže v takovém případě odstoupit od smlouvy a ani uplatnit nárok na náhradu škody. </w:t>
      </w:r>
    </w:p>
    <w:p w14:paraId="70CA1C2B" w14:textId="77777777" w:rsidR="002974DA" w:rsidRPr="000008E4" w:rsidRDefault="002974DA" w:rsidP="002974DA">
      <w:pPr>
        <w:keepLines/>
        <w:suppressAutoHyphens/>
        <w:ind w:left="1080"/>
        <w:contextualSpacing/>
        <w:jc w:val="both"/>
        <w:rPr>
          <w:rFonts w:ascii="Tahoma" w:hAnsi="Tahoma" w:cs="Tahoma"/>
          <w:sz w:val="21"/>
          <w:szCs w:val="21"/>
        </w:rPr>
      </w:pPr>
    </w:p>
    <w:p w14:paraId="14A7864D" w14:textId="77777777" w:rsidR="002974DA"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Faktury zhotovitele musí formou a obsahem odpovídat platným právním předpisům ke dni uskutečnění zdanitelného plnění zejm. zákonu č. 235/2004 Sb., o dani z přidané hodnoty, o dni z přidané hodnoty, ve znění pozdějších předpisů</w:t>
      </w:r>
      <w:r w:rsidRPr="000008E4">
        <w:rPr>
          <w:rFonts w:ascii="Tahoma" w:hAnsi="Tahoma" w:cs="Tahoma"/>
          <w:sz w:val="21"/>
          <w:szCs w:val="21"/>
          <w:lang w:val="x-none"/>
        </w:rPr>
        <w:t xml:space="preserve"> a zákonu</w:t>
      </w:r>
      <w:r w:rsidRPr="000008E4">
        <w:rPr>
          <w:rFonts w:ascii="Tahoma" w:hAnsi="Tahoma" w:cs="Tahoma"/>
          <w:sz w:val="21"/>
          <w:szCs w:val="21"/>
        </w:rPr>
        <w:t xml:space="preserve"> č. 513/1991 Sb.,</w:t>
      </w:r>
      <w:r w:rsidRPr="000008E4">
        <w:rPr>
          <w:rFonts w:ascii="Tahoma" w:hAnsi="Tahoma" w:cs="Tahoma"/>
          <w:sz w:val="21"/>
          <w:szCs w:val="21"/>
          <w:lang w:val="x-none"/>
        </w:rPr>
        <w:t xml:space="preserve"> o účetnictví</w:t>
      </w:r>
      <w:r w:rsidRPr="000008E4">
        <w:rPr>
          <w:rFonts w:ascii="Tahoma" w:hAnsi="Tahoma" w:cs="Tahoma"/>
          <w:sz w:val="21"/>
          <w:szCs w:val="21"/>
        </w:rPr>
        <w:t>, ve znění pozdějších předpisů. Kromě těchto náležitostí stanovených právními předpisy je účtující strana povinna ve faktuře vyznačit tyto údaje:</w:t>
      </w:r>
    </w:p>
    <w:p w14:paraId="79D7E201" w14:textId="77777777" w:rsidR="002974DA" w:rsidRPr="000008E4" w:rsidRDefault="002974DA" w:rsidP="002974DA">
      <w:pPr>
        <w:contextualSpacing/>
        <w:jc w:val="both"/>
        <w:rPr>
          <w:rFonts w:ascii="Tahoma" w:hAnsi="Tahoma" w:cs="Tahoma"/>
          <w:sz w:val="21"/>
          <w:szCs w:val="21"/>
        </w:rPr>
      </w:pPr>
    </w:p>
    <w:p w14:paraId="6A063CBE" w14:textId="77777777" w:rsidR="002974DA" w:rsidRPr="003B14D5"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3B14D5">
        <w:rPr>
          <w:rFonts w:ascii="Tahoma" w:hAnsi="Tahoma" w:cs="Tahoma"/>
          <w:sz w:val="21"/>
          <w:szCs w:val="21"/>
        </w:rPr>
        <w:t>číslo smlouvy a datum jejího uzavření,</w:t>
      </w:r>
    </w:p>
    <w:p w14:paraId="0C5532F2" w14:textId="77777777"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předmět plnění a jeho přesnou specifikaci ve slovním vyjádření (nestačí pouze odkaz na číslo uzavřené smlouvy),</w:t>
      </w:r>
    </w:p>
    <w:p w14:paraId="3B90334C" w14:textId="77777777"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označení banky a čísla účtu, na který musí být zaplaceno,</w:t>
      </w:r>
    </w:p>
    <w:p w14:paraId="260CCC18" w14:textId="77777777" w:rsidR="002974DA" w:rsidRPr="000008E4" w:rsidRDefault="002974DA" w:rsidP="003B14D5">
      <w:pPr>
        <w:pStyle w:val="Odstavecseseznamem"/>
        <w:keepLines/>
        <w:numPr>
          <w:ilvl w:val="0"/>
          <w:numId w:val="31"/>
        </w:numPr>
        <w:suppressAutoHyphens/>
        <w:spacing w:after="0" w:line="240" w:lineRule="auto"/>
        <w:jc w:val="both"/>
        <w:rPr>
          <w:rFonts w:ascii="Tahoma" w:hAnsi="Tahoma" w:cs="Tahoma"/>
          <w:sz w:val="21"/>
          <w:szCs w:val="21"/>
        </w:rPr>
      </w:pPr>
      <w:r w:rsidRPr="000008E4">
        <w:rPr>
          <w:rFonts w:ascii="Tahoma" w:hAnsi="Tahoma" w:cs="Tahoma"/>
          <w:sz w:val="21"/>
          <w:szCs w:val="21"/>
        </w:rPr>
        <w:t>jméno a podpis osoby, která fakturu vystavila, včetně jejího podpisu a kontaktního telefonu.</w:t>
      </w:r>
    </w:p>
    <w:p w14:paraId="2CAB1235" w14:textId="77777777" w:rsidR="00E346E6" w:rsidRDefault="00E346E6" w:rsidP="003B14D5">
      <w:pPr>
        <w:keepLines/>
        <w:suppressAutoHyphens/>
        <w:spacing w:after="0"/>
        <w:ind w:left="357"/>
        <w:jc w:val="both"/>
        <w:rPr>
          <w:rFonts w:ascii="Tahoma" w:hAnsi="Tahoma" w:cs="Tahoma"/>
          <w:sz w:val="21"/>
          <w:szCs w:val="21"/>
        </w:rPr>
      </w:pPr>
    </w:p>
    <w:p w14:paraId="63BEE303" w14:textId="4C4FCE53"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Přílohou faktury za projektovou dokumentaci bude protokol o předání a převzetí projektové dokumentace v počtu a ve formě dle této smlouvy.</w:t>
      </w:r>
    </w:p>
    <w:p w14:paraId="07C0C53A" w14:textId="77777777" w:rsidR="002974DA" w:rsidRPr="000008E4" w:rsidRDefault="002974DA" w:rsidP="002974DA">
      <w:pPr>
        <w:keepLines/>
        <w:numPr>
          <w:ilvl w:val="0"/>
          <w:numId w:val="13"/>
        </w:numPr>
        <w:suppressAutoHyphens/>
        <w:contextualSpacing/>
        <w:jc w:val="both"/>
        <w:rPr>
          <w:rFonts w:ascii="Tahoma" w:hAnsi="Tahoma" w:cs="Tahoma"/>
          <w:sz w:val="21"/>
          <w:szCs w:val="21"/>
        </w:rPr>
      </w:pPr>
      <w:r w:rsidRPr="000008E4">
        <w:rPr>
          <w:rFonts w:ascii="Tahoma" w:hAnsi="Tahoma" w:cs="Tahoma"/>
          <w:sz w:val="21"/>
          <w:szCs w:val="21"/>
        </w:rPr>
        <w:lastRenderedPageBreak/>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14:paraId="095AEFEE" w14:textId="77777777" w:rsidR="002974DA" w:rsidRPr="000008E4" w:rsidRDefault="002974DA" w:rsidP="002974DA">
      <w:pPr>
        <w:keepLines/>
        <w:suppressAutoHyphens/>
        <w:ind w:left="360"/>
        <w:jc w:val="center"/>
        <w:rPr>
          <w:rFonts w:ascii="Tahoma" w:hAnsi="Tahoma" w:cs="Tahoma"/>
          <w:b/>
          <w:sz w:val="21"/>
          <w:szCs w:val="21"/>
        </w:rPr>
      </w:pPr>
    </w:p>
    <w:p w14:paraId="00B3373C" w14:textId="77777777" w:rsidR="002974DA" w:rsidRPr="000008E4" w:rsidRDefault="002974DA" w:rsidP="003B14D5">
      <w:pPr>
        <w:keepLines/>
        <w:suppressAutoHyphens/>
        <w:spacing w:after="0"/>
        <w:ind w:left="357"/>
        <w:jc w:val="center"/>
        <w:rPr>
          <w:rFonts w:ascii="Tahoma" w:hAnsi="Tahoma" w:cs="Tahoma"/>
          <w:b/>
          <w:sz w:val="21"/>
          <w:szCs w:val="21"/>
        </w:rPr>
      </w:pPr>
      <w:r w:rsidRPr="000008E4">
        <w:rPr>
          <w:rFonts w:ascii="Tahoma" w:hAnsi="Tahoma" w:cs="Tahoma"/>
          <w:b/>
          <w:sz w:val="21"/>
          <w:szCs w:val="21"/>
        </w:rPr>
        <w:t>článek 5</w:t>
      </w:r>
    </w:p>
    <w:p w14:paraId="765AADFE" w14:textId="77777777" w:rsidR="002974DA" w:rsidRPr="000008E4" w:rsidRDefault="002974DA" w:rsidP="003B14D5">
      <w:pPr>
        <w:keepLines/>
        <w:suppressAutoHyphens/>
        <w:spacing w:after="0"/>
        <w:jc w:val="center"/>
        <w:rPr>
          <w:rFonts w:ascii="Tahoma" w:hAnsi="Tahoma" w:cs="Tahoma"/>
          <w:b/>
          <w:sz w:val="21"/>
          <w:szCs w:val="21"/>
        </w:rPr>
      </w:pPr>
      <w:r w:rsidRPr="000008E4">
        <w:rPr>
          <w:rFonts w:ascii="Tahoma" w:hAnsi="Tahoma" w:cs="Tahoma"/>
          <w:b/>
          <w:sz w:val="21"/>
          <w:szCs w:val="21"/>
        </w:rPr>
        <w:t>Spolupůsobení zhotovitele a objednatele</w:t>
      </w:r>
    </w:p>
    <w:p w14:paraId="435E70A7" w14:textId="77777777" w:rsidR="00E346E6" w:rsidRDefault="00E346E6" w:rsidP="003B14D5">
      <w:pPr>
        <w:suppressAutoHyphens/>
        <w:adjustRightInd w:val="0"/>
        <w:spacing w:after="0"/>
        <w:ind w:left="357"/>
        <w:jc w:val="both"/>
        <w:rPr>
          <w:rFonts w:ascii="Tahoma" w:hAnsi="Tahoma" w:cs="Tahoma"/>
          <w:sz w:val="21"/>
          <w:szCs w:val="21"/>
        </w:rPr>
      </w:pPr>
    </w:p>
    <w:p w14:paraId="02C30CF0" w14:textId="54CC7983" w:rsidR="002974DA" w:rsidRPr="000008E4" w:rsidRDefault="002974DA" w:rsidP="002974DA">
      <w:pPr>
        <w:numPr>
          <w:ilvl w:val="0"/>
          <w:numId w:val="10"/>
        </w:numPr>
        <w:suppressAutoHyphens/>
        <w:adjustRightInd w:val="0"/>
        <w:ind w:left="357" w:hanging="357"/>
        <w:jc w:val="both"/>
        <w:rPr>
          <w:rFonts w:ascii="Tahoma" w:hAnsi="Tahoma" w:cs="Tahoma"/>
          <w:sz w:val="21"/>
          <w:szCs w:val="21"/>
        </w:rPr>
      </w:pPr>
      <w:r w:rsidRPr="000008E4">
        <w:rPr>
          <w:rFonts w:ascii="Tahoma" w:hAnsi="Tahoma" w:cs="Tahoma"/>
          <w:sz w:val="21"/>
          <w:szCs w:val="21"/>
        </w:rPr>
        <w:t xml:space="preserve">Zhotovitel se zavazuje v průběhu projektových prací konzultovat navržené řešení s objednatelem, se zástupci objednatele z odboru </w:t>
      </w:r>
      <w:proofErr w:type="spellStart"/>
      <w:r w:rsidR="00D9072C">
        <w:rPr>
          <w:rFonts w:ascii="Tahoma" w:hAnsi="Tahoma" w:cs="Tahoma"/>
          <w:sz w:val="21"/>
          <w:szCs w:val="21"/>
        </w:rPr>
        <w:t>DaSH</w:t>
      </w:r>
      <w:proofErr w:type="spellEnd"/>
      <w:r w:rsidRPr="000008E4">
        <w:rPr>
          <w:rFonts w:ascii="Tahoma" w:hAnsi="Tahoma" w:cs="Tahoma"/>
          <w:sz w:val="21"/>
          <w:szCs w:val="21"/>
        </w:rPr>
        <w:t>, případně dalších.</w:t>
      </w:r>
    </w:p>
    <w:p w14:paraId="0FD40997"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14:paraId="54809463" w14:textId="77777777" w:rsidR="002974DA" w:rsidRPr="000008E4" w:rsidRDefault="002974DA" w:rsidP="002974DA">
      <w:pPr>
        <w:numPr>
          <w:ilvl w:val="0"/>
          <w:numId w:val="10"/>
        </w:numPr>
        <w:tabs>
          <w:tab w:val="left" w:pos="993"/>
          <w:tab w:val="left" w:pos="6946"/>
          <w:tab w:val="left" w:pos="8505"/>
          <w:tab w:val="left" w:pos="8789"/>
          <w:tab w:val="left" w:pos="9214"/>
          <w:tab w:val="left" w:pos="9355"/>
        </w:tabs>
        <w:suppressAutoHyphens/>
        <w:autoSpaceDE w:val="0"/>
        <w:autoSpaceDN w:val="0"/>
        <w:adjustRightInd w:val="0"/>
        <w:spacing w:after="120"/>
        <w:ind w:left="357" w:right="-2"/>
        <w:contextualSpacing/>
        <w:jc w:val="both"/>
        <w:rPr>
          <w:rFonts w:ascii="Tahoma" w:hAnsi="Tahoma" w:cs="Tahoma"/>
          <w:sz w:val="21"/>
          <w:szCs w:val="21"/>
        </w:rPr>
      </w:pPr>
      <w:r w:rsidRPr="000008E4">
        <w:rPr>
          <w:rFonts w:ascii="Tahoma" w:hAnsi="Tahoma" w:cs="Tahoma"/>
          <w:sz w:val="21"/>
          <w:szCs w:val="21"/>
        </w:rPr>
        <w:t>Zhotovitel je povinen v průběhu prací seznámit objednatele s rozpracovaným dílem na kontrolních dnech, ze kterých bude pořízen zhotovitelem zápis. Objednatel má právo na kontrolu průběhu provádění díla alespoň 1x za dva týdny v průběhu zpracování, nebude-li dohodnuto se zástupcem/i uvedenými v záhlaví smlouvy jinak. Kontrolní dny svolává zhotovitel prostřednictvím osoby uvedené v tomto článku nejméně tři dny předem. Kontrolní dny se budou konat v sídle objednatele, pokud se strany nedohodnou jinak. Seznámení s rozpracovaným dílem na kontrolních dnech bude představeno formou elektronické prezentace.</w:t>
      </w:r>
    </w:p>
    <w:p w14:paraId="63C98316" w14:textId="77777777" w:rsidR="002974DA" w:rsidRPr="000008E4" w:rsidRDefault="002974DA" w:rsidP="002974DA">
      <w:pPr>
        <w:tabs>
          <w:tab w:val="left" w:pos="8789"/>
          <w:tab w:val="left" w:pos="9355"/>
        </w:tabs>
        <w:ind w:left="357"/>
        <w:jc w:val="both"/>
        <w:rPr>
          <w:rFonts w:ascii="Tahoma" w:hAnsi="Tahoma" w:cs="Tahoma"/>
          <w:sz w:val="21"/>
          <w:szCs w:val="21"/>
        </w:rPr>
      </w:pPr>
      <w:r w:rsidRPr="000008E4">
        <w:rPr>
          <w:rFonts w:ascii="Tahoma" w:hAnsi="Tahoma" w:cs="Tahoma"/>
          <w:sz w:val="21"/>
          <w:szCs w:val="21"/>
        </w:rPr>
        <w:t>Veškerá komunikace osob v rámci součinnosti při plnění smlouvy bude probíhat pro účely zajištění pružnosti emailovou formou na adresy osob uvedených v záhlaví smlouvy; postačí i prostý email.</w:t>
      </w:r>
    </w:p>
    <w:p w14:paraId="364DF150"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Objednatel je oprávněn a povinen zajistit účast oprávněného pracovníka na kontrolních dnech a poskytnout součinnost při zpracování a při projednávání dokumentace. </w:t>
      </w:r>
    </w:p>
    <w:p w14:paraId="672F57FC"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Zhotovitel se zavazuje písemné připomínky uplatněné objednatelem na poradách a v rámci součinnosti do čistopisu PD zapracovat. </w:t>
      </w:r>
    </w:p>
    <w:p w14:paraId="1E4F5B28" w14:textId="77777777" w:rsidR="002974DA" w:rsidRPr="000008E4" w:rsidRDefault="002974DA" w:rsidP="002974DA">
      <w:pPr>
        <w:keepLines/>
        <w:numPr>
          <w:ilvl w:val="0"/>
          <w:numId w:val="10"/>
        </w:numPr>
        <w:suppressAutoHyphens/>
        <w:adjustRightInd w:val="0"/>
        <w:ind w:left="357" w:hanging="357"/>
        <w:jc w:val="both"/>
        <w:rPr>
          <w:rFonts w:ascii="Tahoma" w:hAnsi="Tahoma" w:cs="Tahoma"/>
          <w:b/>
          <w:bCs/>
          <w:sz w:val="21"/>
          <w:szCs w:val="21"/>
        </w:rPr>
      </w:pPr>
      <w:r w:rsidRPr="000008E4">
        <w:rPr>
          <w:rFonts w:ascii="Tahoma" w:hAnsi="Tahoma" w:cs="Tahoma"/>
          <w:sz w:val="21"/>
          <w:szCs w:val="21"/>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14:paraId="6568C3A1" w14:textId="77777777" w:rsidR="002974DA" w:rsidRPr="000008E4" w:rsidRDefault="002974DA" w:rsidP="003B14D5">
      <w:pPr>
        <w:spacing w:after="0"/>
        <w:jc w:val="center"/>
        <w:rPr>
          <w:rFonts w:ascii="Tahoma" w:hAnsi="Tahoma" w:cs="Tahoma"/>
          <w:b/>
          <w:bCs/>
          <w:sz w:val="21"/>
          <w:szCs w:val="21"/>
        </w:rPr>
      </w:pPr>
    </w:p>
    <w:p w14:paraId="7F25D6DE" w14:textId="77777777"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6</w:t>
      </w:r>
    </w:p>
    <w:p w14:paraId="69B10B9D" w14:textId="77777777" w:rsidR="002974DA" w:rsidRPr="000008E4" w:rsidRDefault="002974DA" w:rsidP="002974DA">
      <w:pPr>
        <w:keepLines/>
        <w:suppressAutoHyphens/>
        <w:jc w:val="center"/>
        <w:rPr>
          <w:rFonts w:ascii="Tahoma" w:hAnsi="Tahoma" w:cs="Tahoma"/>
          <w:b/>
          <w:bCs/>
          <w:sz w:val="21"/>
          <w:szCs w:val="21"/>
          <w:lang w:val="x-none"/>
        </w:rPr>
      </w:pPr>
      <w:r w:rsidRPr="000008E4">
        <w:rPr>
          <w:rFonts w:ascii="Tahoma" w:hAnsi="Tahoma" w:cs="Tahoma"/>
          <w:b/>
          <w:bCs/>
          <w:sz w:val="21"/>
          <w:szCs w:val="21"/>
        </w:rPr>
        <w:t>Vady plnění</w:t>
      </w:r>
    </w:p>
    <w:p w14:paraId="49BF213F" w14:textId="039FAB95" w:rsidR="002974DA" w:rsidRDefault="002974DA" w:rsidP="002974DA">
      <w:pPr>
        <w:numPr>
          <w:ilvl w:val="1"/>
          <w:numId w:val="4"/>
        </w:numPr>
        <w:tabs>
          <w:tab w:val="clear" w:pos="-65"/>
          <w:tab w:val="num" w:pos="360"/>
        </w:tabs>
        <w:ind w:left="360"/>
        <w:contextualSpacing/>
        <w:jc w:val="both"/>
        <w:rPr>
          <w:rFonts w:ascii="Tahoma" w:hAnsi="Tahoma" w:cs="Tahoma"/>
          <w:sz w:val="21"/>
          <w:szCs w:val="21"/>
        </w:rPr>
      </w:pPr>
      <w:r w:rsidRPr="000008E4">
        <w:rPr>
          <w:rFonts w:ascii="Tahoma" w:hAnsi="Tahoma" w:cs="Tahoma"/>
          <w:sz w:val="21"/>
          <w:szCs w:val="21"/>
        </w:rPr>
        <w:t xml:space="preserve">Odpovědnost zhotovitele za technické řešení stavby uvedené v této smlouvě vyplývá ze zákona a trvá po celou dobu životnosti stavby. Dílo má vady, jestliže jeho provedení neodpovídá výsledku určenému ve smlouvě, tj. v souladu se zákonem č. 283/2021 Sb., stavební zákon, ve </w:t>
      </w:r>
      <w:r w:rsidRPr="000008E4">
        <w:rPr>
          <w:rFonts w:ascii="Tahoma" w:hAnsi="Tahoma" w:cs="Tahoma"/>
          <w:sz w:val="21"/>
          <w:szCs w:val="21"/>
        </w:rPr>
        <w:lastRenderedPageBreak/>
        <w:t>znění pozdějších předpisů a zákony souvisejícími, dále v souladu s ČSN, EN, ON a TP jimiž se definuje požadovaná kvalita a způsob její kontroly. Zhotovitel odpovídá za vady předmětu díla podle příslušných ustanovení občanského zákoníku, zejména § 2615 až 2619 zákona č. 89/2012 Sb., občanský zákoník, znění pozdějších předpisů. Vyjde-li vada, kterou předmět díla měl v době převzetí najevo až po předání objednateli a zhotovitel na ni objednatele neupozornil, má právo na bezplatnou opravu či doplnění díla.</w:t>
      </w:r>
    </w:p>
    <w:p w14:paraId="1F86148D" w14:textId="77777777" w:rsidR="00D9072C" w:rsidRPr="000008E4" w:rsidRDefault="00D9072C" w:rsidP="00D9072C">
      <w:pPr>
        <w:ind w:left="360"/>
        <w:contextualSpacing/>
        <w:jc w:val="both"/>
        <w:rPr>
          <w:rFonts w:ascii="Tahoma" w:hAnsi="Tahoma" w:cs="Tahoma"/>
          <w:sz w:val="21"/>
          <w:szCs w:val="21"/>
        </w:rPr>
      </w:pPr>
    </w:p>
    <w:p w14:paraId="446B4195"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14:paraId="61BFC6D8"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v níž bude vada odstraněna a bude vyprojektován nový bezvadný stav.</w:t>
      </w:r>
    </w:p>
    <w:p w14:paraId="153C44E2"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14:paraId="442B419B"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O odstranění vady sepíše objednatel protokol, ve kterém potvrdí odstranění vady nebo uvede důvody, pro které odmítá opravu převzít.</w:t>
      </w:r>
    </w:p>
    <w:p w14:paraId="4A80B74B" w14:textId="77777777" w:rsidR="002974DA" w:rsidRPr="000008E4"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 xml:space="preserve">V případě výskytu vady na díle bude objednatel vady reklamovat bezodkladně po jejich zjištění na níže uvedené adrese:  </w:t>
      </w:r>
    </w:p>
    <w:p w14:paraId="470485DF" w14:textId="77777777"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do datové schránky: </w:t>
      </w:r>
      <w:r w:rsidRPr="000008E4">
        <w:rPr>
          <w:rFonts w:ascii="Tahoma" w:hAnsi="Tahoma" w:cs="Tahoma"/>
          <w:sz w:val="21"/>
          <w:szCs w:val="21"/>
        </w:rPr>
        <w:t>----</w:t>
      </w:r>
    </w:p>
    <w:p w14:paraId="13909CBF" w14:textId="4C9962A7"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e-mail: </w:t>
      </w:r>
      <w:hyperlink r:id="rId10" w:history="1">
        <w:r w:rsidR="00D9072C">
          <w:rPr>
            <w:rStyle w:val="Hypertextovodkaz"/>
            <w:rFonts w:ascii="Tahoma" w:hAnsi="Tahoma" w:cs="Tahoma"/>
            <w:sz w:val="21"/>
            <w:szCs w:val="21"/>
          </w:rPr>
          <w:t>------</w:t>
        </w:r>
      </w:hyperlink>
    </w:p>
    <w:p w14:paraId="2DDA11F8" w14:textId="135631ED"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telefonním čísle: </w:t>
      </w:r>
      <w:r w:rsidR="00D9072C">
        <w:rPr>
          <w:rFonts w:ascii="Tahoma" w:hAnsi="Tahoma" w:cs="Tahoma"/>
          <w:sz w:val="21"/>
          <w:szCs w:val="21"/>
        </w:rPr>
        <w:t>-------</w:t>
      </w:r>
    </w:p>
    <w:p w14:paraId="21F034FB" w14:textId="77777777" w:rsidR="002974DA" w:rsidRPr="000008E4" w:rsidRDefault="002974DA" w:rsidP="002974DA">
      <w:pPr>
        <w:keepLines/>
        <w:suppressAutoHyphens/>
        <w:ind w:left="1208"/>
        <w:jc w:val="both"/>
        <w:rPr>
          <w:rFonts w:ascii="Tahoma" w:hAnsi="Tahoma" w:cs="Tahoma"/>
          <w:sz w:val="21"/>
          <w:szCs w:val="21"/>
          <w:lang w:val="x-none"/>
        </w:rPr>
      </w:pPr>
    </w:p>
    <w:p w14:paraId="172D4B84" w14:textId="77777777"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lang w:val="x-none"/>
        </w:rPr>
        <w:t xml:space="preserve">V případě </w:t>
      </w:r>
      <w:r w:rsidRPr="000008E4">
        <w:rPr>
          <w:rFonts w:ascii="Tahoma" w:hAnsi="Tahoma" w:cs="Tahoma"/>
          <w:sz w:val="21"/>
          <w:szCs w:val="21"/>
        </w:rPr>
        <w:t>uplatnění vad</w:t>
      </w:r>
      <w:r w:rsidRPr="000008E4">
        <w:rPr>
          <w:rFonts w:ascii="Tahoma" w:hAnsi="Tahoma" w:cs="Tahoma"/>
          <w:sz w:val="21"/>
          <w:szCs w:val="21"/>
          <w:lang w:val="x-none"/>
        </w:rPr>
        <w:t xml:space="preserve"> způsobem uvedeným pod bodem c, musí být hlášení vady potvrzeno písemně, tzn. způsobem dle bodu a nebo b.</w:t>
      </w:r>
    </w:p>
    <w:p w14:paraId="612ED337" w14:textId="77777777" w:rsidR="002974DA" w:rsidRPr="000008E4"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14:paraId="123A76B2" w14:textId="77777777" w:rsidR="002974DA" w:rsidRPr="000008E4" w:rsidRDefault="002974DA" w:rsidP="003B14D5">
      <w:pPr>
        <w:tabs>
          <w:tab w:val="left" w:pos="6804"/>
        </w:tabs>
        <w:spacing w:after="0"/>
        <w:jc w:val="center"/>
        <w:rPr>
          <w:rFonts w:ascii="Tahoma" w:hAnsi="Tahoma" w:cs="Tahoma"/>
          <w:b/>
          <w:bCs/>
          <w:sz w:val="21"/>
          <w:szCs w:val="21"/>
        </w:rPr>
      </w:pPr>
      <w:r w:rsidRPr="000008E4">
        <w:rPr>
          <w:rFonts w:ascii="Tahoma" w:hAnsi="Tahoma" w:cs="Tahoma"/>
          <w:b/>
          <w:bCs/>
          <w:sz w:val="21"/>
          <w:szCs w:val="21"/>
          <w:lang w:val="x-none"/>
        </w:rPr>
        <w:t>článek 7</w:t>
      </w:r>
    </w:p>
    <w:p w14:paraId="67E846E8" w14:textId="77777777" w:rsidR="002974DA" w:rsidRPr="000008E4" w:rsidRDefault="002974DA" w:rsidP="002974DA">
      <w:pPr>
        <w:tabs>
          <w:tab w:val="left" w:pos="6804"/>
        </w:tabs>
        <w:jc w:val="center"/>
        <w:rPr>
          <w:rFonts w:ascii="Tahoma" w:hAnsi="Tahoma" w:cs="Tahoma"/>
          <w:b/>
          <w:bCs/>
          <w:sz w:val="21"/>
          <w:szCs w:val="21"/>
        </w:rPr>
      </w:pPr>
      <w:r w:rsidRPr="000008E4">
        <w:rPr>
          <w:rFonts w:ascii="Tahoma" w:hAnsi="Tahoma" w:cs="Tahoma"/>
          <w:b/>
          <w:bCs/>
          <w:sz w:val="21"/>
          <w:szCs w:val="21"/>
          <w:lang w:val="x-none"/>
        </w:rPr>
        <w:t>Smluvní sankce</w:t>
      </w:r>
    </w:p>
    <w:p w14:paraId="58185059"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lastRenderedPageBreak/>
        <w:t>V případě prodlení zhotovitele s předáním předmětu díla</w:t>
      </w:r>
      <w:r w:rsidRPr="000008E4">
        <w:rPr>
          <w:rFonts w:ascii="Tahoma" w:hAnsi="Tahoma" w:cs="Tahoma"/>
          <w:sz w:val="21"/>
          <w:szCs w:val="21"/>
        </w:rPr>
        <w:t>, té které jeho dílčí části (PD pro povolení záměru, DPS)</w:t>
      </w:r>
      <w:r w:rsidRPr="000008E4">
        <w:rPr>
          <w:rFonts w:ascii="Tahoma" w:hAnsi="Tahoma" w:cs="Tahoma"/>
          <w:sz w:val="21"/>
          <w:szCs w:val="21"/>
          <w:lang w:val="x-none"/>
        </w:rPr>
        <w:t xml:space="preserve"> v termínu dle smlouvy má objednatel právo požadovat smluvní pokutu ve výši </w:t>
      </w:r>
      <w:r w:rsidRPr="000008E4">
        <w:rPr>
          <w:rFonts w:ascii="Tahoma" w:hAnsi="Tahoma" w:cs="Tahoma"/>
          <w:sz w:val="21"/>
          <w:szCs w:val="21"/>
        </w:rPr>
        <w:t>0,5 % z ceny díla za každý započatý den prodlení</w:t>
      </w:r>
      <w:r w:rsidRPr="000008E4">
        <w:rPr>
          <w:rFonts w:ascii="Tahoma" w:hAnsi="Tahoma" w:cs="Tahoma"/>
          <w:sz w:val="21"/>
          <w:szCs w:val="21"/>
          <w:lang w:val="x-none"/>
        </w:rPr>
        <w:t>.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14:paraId="37CF3A07" w14:textId="224FF4AD"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 </w:t>
      </w:r>
      <w:r w:rsidRPr="000008E4">
        <w:rPr>
          <w:rFonts w:ascii="Tahoma" w:hAnsi="Tahoma" w:cs="Tahoma"/>
          <w:sz w:val="21"/>
          <w:szCs w:val="21"/>
          <w:lang w:val="x-none"/>
        </w:rPr>
        <w:t>odstranění</w:t>
      </w:r>
      <w:r w:rsidRPr="000008E4">
        <w:rPr>
          <w:rFonts w:ascii="Tahoma" w:hAnsi="Tahoma" w:cs="Tahoma"/>
          <w:sz w:val="21"/>
          <w:szCs w:val="21"/>
        </w:rPr>
        <w:t>m</w:t>
      </w:r>
      <w:r w:rsidRPr="000008E4">
        <w:rPr>
          <w:rFonts w:ascii="Tahoma" w:hAnsi="Tahoma" w:cs="Tahoma"/>
          <w:sz w:val="21"/>
          <w:szCs w:val="21"/>
          <w:lang w:val="x-none"/>
        </w:rPr>
        <w:t xml:space="preserve"> vad dle termínu stanoveného ve smlouvě, se sjednává smluvní pokuta ve výši </w:t>
      </w:r>
      <w:r w:rsidR="00C65297">
        <w:rPr>
          <w:rFonts w:ascii="Tahoma" w:hAnsi="Tahoma" w:cs="Tahoma"/>
          <w:sz w:val="21"/>
          <w:szCs w:val="21"/>
        </w:rPr>
        <w:t>1</w:t>
      </w:r>
      <w:r w:rsidRPr="000008E4">
        <w:rPr>
          <w:rFonts w:ascii="Tahoma" w:hAnsi="Tahoma" w:cs="Tahoma"/>
          <w:sz w:val="21"/>
          <w:szCs w:val="21"/>
        </w:rPr>
        <w:t xml:space="preserve"> 000,-Kč za jednotlivě uplatněnou vadu.</w:t>
      </w:r>
      <w:r w:rsidRPr="000008E4">
        <w:rPr>
          <w:rFonts w:ascii="Tahoma" w:hAnsi="Tahoma" w:cs="Tahoma"/>
          <w:sz w:val="21"/>
          <w:szCs w:val="21"/>
          <w:lang w:val="x-none"/>
        </w:rPr>
        <w:t xml:space="preserve"> Smluvní pokutu je zhotovitel povinen uhradit do 14 dnů od doručení jejího vyúčtování provedeného objednatelem.</w:t>
      </w:r>
    </w:p>
    <w:p w14:paraId="23F1F443"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se zpracováním odpovědí na dotazy k projektové části zadávací dokumentace v rámci vyjasňování zadávací dokumentace zájemcům o veřejnou zakázku ve lhůtě do 2 dnů po jejich obdržení, </w:t>
      </w:r>
      <w:r w:rsidRPr="000008E4">
        <w:rPr>
          <w:rFonts w:ascii="Tahoma" w:hAnsi="Tahoma" w:cs="Tahoma"/>
          <w:sz w:val="21"/>
          <w:szCs w:val="21"/>
          <w:lang w:val="x-none"/>
        </w:rPr>
        <w:t xml:space="preserve">se sjednává smluvní pokuta ve výši </w:t>
      </w:r>
      <w:r w:rsidRPr="000008E4">
        <w:rPr>
          <w:rFonts w:ascii="Tahoma" w:hAnsi="Tahoma" w:cs="Tahoma"/>
          <w:sz w:val="21"/>
          <w:szCs w:val="21"/>
        </w:rPr>
        <w:t>1 000,-Kč za jednotlivě nezpracovanou odpověď/den.</w:t>
      </w:r>
    </w:p>
    <w:p w14:paraId="14348064"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14:paraId="3D2E2BD5" w14:textId="77777777" w:rsidR="002974DA" w:rsidRPr="000008E4" w:rsidRDefault="002974DA" w:rsidP="002974DA">
      <w:pPr>
        <w:numPr>
          <w:ilvl w:val="1"/>
          <w:numId w:val="5"/>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Za každou vadu (chybu) v DPS v rozpočtech a ve výkazu výměr, zjištěnou při realizaci stavby</w:t>
      </w:r>
      <w:r w:rsidRPr="000008E4">
        <w:rPr>
          <w:rFonts w:ascii="Tahoma" w:hAnsi="Tahoma" w:cs="Tahoma"/>
          <w:sz w:val="21"/>
          <w:szCs w:val="21"/>
        </w:rPr>
        <w:t xml:space="preserve"> toho kterého objektu</w:t>
      </w:r>
      <w:r w:rsidRPr="000008E4">
        <w:rPr>
          <w:rFonts w:ascii="Tahoma" w:hAnsi="Tahoma" w:cs="Tahoma"/>
          <w:sz w:val="21"/>
          <w:szCs w:val="21"/>
          <w:lang w:val="x-none"/>
        </w:rPr>
        <w:t>, která si vyžádá zvýšení nákladů stavby od 50.000,- Kč bez DPH, může objednatel účtovat smluvní pokutu ve výši 5.000,-</w:t>
      </w:r>
      <w:r w:rsidRPr="000008E4">
        <w:rPr>
          <w:rFonts w:ascii="Tahoma" w:hAnsi="Tahoma" w:cs="Tahoma"/>
          <w:sz w:val="21"/>
          <w:szCs w:val="21"/>
        </w:rPr>
        <w:t>Kč</w:t>
      </w:r>
      <w:r w:rsidRPr="000008E4">
        <w:rPr>
          <w:rFonts w:ascii="Tahoma" w:hAnsi="Tahoma" w:cs="Tahoma"/>
          <w:sz w:val="21"/>
          <w:szCs w:val="21"/>
          <w:lang w:val="x-none"/>
        </w:rPr>
        <w:t xml:space="preserve"> + 1% z částky bez DPH, o kterou byly náklady zvýšeny.</w:t>
      </w:r>
    </w:p>
    <w:p w14:paraId="2F546A5D" w14:textId="6CC601B9" w:rsidR="002974DA" w:rsidRDefault="002974DA" w:rsidP="002974DA">
      <w:pPr>
        <w:ind w:left="284" w:hanging="284"/>
        <w:jc w:val="center"/>
        <w:rPr>
          <w:rFonts w:ascii="Tahoma" w:hAnsi="Tahoma" w:cs="Tahoma"/>
          <w:b/>
          <w:bCs/>
          <w:sz w:val="21"/>
          <w:szCs w:val="21"/>
        </w:rPr>
      </w:pPr>
    </w:p>
    <w:p w14:paraId="54813F69" w14:textId="77777777"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8</w:t>
      </w:r>
    </w:p>
    <w:p w14:paraId="7D6A7FE0" w14:textId="77777777" w:rsidR="002974DA" w:rsidRPr="000008E4" w:rsidRDefault="002974DA" w:rsidP="002974DA">
      <w:pPr>
        <w:ind w:left="284" w:hanging="284"/>
        <w:jc w:val="center"/>
        <w:rPr>
          <w:rFonts w:ascii="Tahoma" w:hAnsi="Tahoma" w:cs="Tahoma"/>
          <w:b/>
          <w:bCs/>
          <w:sz w:val="21"/>
          <w:szCs w:val="21"/>
          <w:lang w:val="x-none"/>
        </w:rPr>
      </w:pPr>
      <w:r w:rsidRPr="000008E4">
        <w:rPr>
          <w:rFonts w:ascii="Tahoma" w:hAnsi="Tahoma" w:cs="Tahoma"/>
          <w:b/>
          <w:bCs/>
          <w:sz w:val="21"/>
          <w:szCs w:val="21"/>
          <w:lang w:val="x-none"/>
        </w:rPr>
        <w:t xml:space="preserve"> Další podmínky provádění díla</w:t>
      </w:r>
    </w:p>
    <w:p w14:paraId="3B11A4D3" w14:textId="77777777"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Zhotovitel odpovídá za kvalitu a řádnost a úplnost provedených projekčních prací jak vlastními pracovníky, tak i za kvalitu projekčních prací prováděných jeho subdodavateli.</w:t>
      </w:r>
    </w:p>
    <w:p w14:paraId="2EED0AFF" w14:textId="77777777"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 xml:space="preserve">Zhotovitel touto smlouvou poskytuje objednateli </w:t>
      </w:r>
      <w:r w:rsidRPr="000008E4">
        <w:rPr>
          <w:rFonts w:ascii="Tahoma" w:hAnsi="Tahoma" w:cs="Tahoma"/>
          <w:sz w:val="21"/>
          <w:szCs w:val="21"/>
        </w:rPr>
        <w:t xml:space="preserve">výhradní </w:t>
      </w:r>
      <w:r w:rsidRPr="000008E4">
        <w:rPr>
          <w:rFonts w:ascii="Tahoma" w:hAnsi="Tahoma" w:cs="Tahoma"/>
          <w:sz w:val="21"/>
          <w:szCs w:val="21"/>
          <w:lang w:val="x-none"/>
        </w:rPr>
        <w:t>oprávnění k užití díla – projektové dokumentace dle této smlouvy způsoby předpokládanými zákonem č. 121/2000 Sb., o právu autorském, v</w:t>
      </w:r>
      <w:r w:rsidRPr="000008E4">
        <w:rPr>
          <w:rFonts w:ascii="Tahoma" w:hAnsi="Tahoma" w:cs="Tahoma"/>
          <w:sz w:val="21"/>
          <w:szCs w:val="21"/>
        </w:rPr>
        <w:t>e znění pozdějších předpisů, resp. § 2371 a zákona č. 89/2012 Sb., občanský zákoník, ve znění pozdějších předpisů,</w:t>
      </w:r>
      <w:r w:rsidRPr="000008E4">
        <w:rPr>
          <w:rFonts w:ascii="Tahoma" w:hAnsi="Tahoma" w:cs="Tahoma"/>
          <w:sz w:val="21"/>
          <w:szCs w:val="21"/>
          <w:lang w:val="x-none"/>
        </w:rPr>
        <w:t xml:space="preserve"> a vyplývajícím z účelu dle této smlouvy, tj.: pro účely, ke kterým je projektová dokumentace určena.</w:t>
      </w:r>
    </w:p>
    <w:p w14:paraId="56CB9208"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Objednatel má právo projektovou dokumentaci, jakož i v jejich rozpracovaných částech, neomezeně množit pro vlastní potřebu a předávat kopie projektové dokumentace nebo jejich částí třetím osobám k účelům:</w:t>
      </w:r>
    </w:p>
    <w:p w14:paraId="5AAE1BFD" w14:textId="77777777"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 xml:space="preserve">publikačním a reprezentativním směřujících k prezentaci PD ve vztahu k orgánům objednatele, veřejnosti,  </w:t>
      </w:r>
    </w:p>
    <w:p w14:paraId="6474A601" w14:textId="77777777"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lastRenderedPageBreak/>
        <w:t>zabezpečení zadávacích řízení podle zákona č. 134/2016 Sb., o zadávání veřejných zakázek, ve znění pozdějších předpisů,</w:t>
      </w:r>
    </w:p>
    <w:p w14:paraId="6A11602F" w14:textId="77777777" w:rsidR="002974DA"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zhotovení stavby nebo její části,</w:t>
      </w:r>
    </w:p>
    <w:p w14:paraId="37A3D386" w14:textId="77777777" w:rsidR="002974DA" w:rsidRDefault="002974DA" w:rsidP="002974DA">
      <w:pPr>
        <w:keepLines/>
        <w:suppressAutoHyphens/>
        <w:ind w:left="1134"/>
        <w:jc w:val="both"/>
        <w:rPr>
          <w:rFonts w:ascii="Tahoma" w:hAnsi="Tahoma" w:cs="Tahoma"/>
          <w:sz w:val="21"/>
          <w:szCs w:val="21"/>
        </w:rPr>
      </w:pPr>
    </w:p>
    <w:p w14:paraId="6A039347" w14:textId="77777777"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 xml:space="preserve">a to po dobu trvání autorských práv. Objednatel není povinen PD využít. Změny jsou přípustné jen s vědomím a souhlasem autora PD – zhotovitele. </w:t>
      </w:r>
    </w:p>
    <w:p w14:paraId="000644B2"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14:paraId="0B861066"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touto PD. Ustanovení se nevztahuje na subdodavatele zhotovitele</w:t>
      </w:r>
      <w:r w:rsidRPr="000008E4">
        <w:rPr>
          <w:rFonts w:ascii="Tahoma" w:hAnsi="Tahoma" w:cs="Tahoma"/>
          <w:strike/>
          <w:sz w:val="21"/>
          <w:szCs w:val="21"/>
        </w:rPr>
        <w:t>.</w:t>
      </w:r>
    </w:p>
    <w:p w14:paraId="312FC138"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 xml:space="preserve">Shora uvedené ujednání se vztahuje pouze na ty části projektové dokumentace, které jsou, resp. se stanou autorským dílem ve smyslu zákona č. 121/2000 Sb., o právu autorském, ve znění pozdějších předpisů; Zhotovitel je oprávněn uvést při zveřejněních a oznámeních o stavebním díle své označení, včetně označení autorů, spoluautorů. </w:t>
      </w:r>
    </w:p>
    <w:p w14:paraId="10145044"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pojištěn z titulu odpovědnosti za škodu způsobenou při výkonu své činnosti. Pojistnou smlouvu, pojistný certifikát předloží vítězný uchazeč před podpisem smlouvy o dílo.</w:t>
      </w:r>
    </w:p>
    <w:p w14:paraId="50EC2E37" w14:textId="77777777" w:rsidR="00C26B1E" w:rsidRDefault="00C26B1E" w:rsidP="00C26B1E">
      <w:pPr>
        <w:spacing w:after="0"/>
        <w:ind w:left="284" w:hanging="284"/>
        <w:jc w:val="center"/>
        <w:rPr>
          <w:rFonts w:ascii="Tahoma" w:hAnsi="Tahoma" w:cs="Tahoma"/>
          <w:b/>
          <w:bCs/>
          <w:sz w:val="21"/>
          <w:szCs w:val="21"/>
          <w:lang w:val="x-none"/>
        </w:rPr>
      </w:pPr>
    </w:p>
    <w:p w14:paraId="279B563F" w14:textId="7024DAD6"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9</w:t>
      </w:r>
    </w:p>
    <w:p w14:paraId="0D4877A5" w14:textId="77777777" w:rsidR="002974DA" w:rsidRPr="000008E4" w:rsidRDefault="002974DA" w:rsidP="002974DA">
      <w:pPr>
        <w:ind w:left="284" w:hanging="284"/>
        <w:jc w:val="center"/>
        <w:rPr>
          <w:rFonts w:ascii="Tahoma" w:hAnsi="Tahoma" w:cs="Tahoma"/>
          <w:b/>
          <w:bCs/>
          <w:sz w:val="21"/>
          <w:szCs w:val="21"/>
        </w:rPr>
      </w:pPr>
      <w:r w:rsidRPr="000008E4">
        <w:rPr>
          <w:rFonts w:ascii="Tahoma" w:hAnsi="Tahoma" w:cs="Tahoma"/>
          <w:b/>
          <w:bCs/>
          <w:sz w:val="21"/>
          <w:szCs w:val="21"/>
          <w:lang w:val="x-none"/>
        </w:rPr>
        <w:tab/>
        <w:t>Závěrečná u</w:t>
      </w:r>
      <w:r w:rsidRPr="000008E4">
        <w:rPr>
          <w:rFonts w:ascii="Tahoma" w:hAnsi="Tahoma" w:cs="Tahoma"/>
          <w:b/>
          <w:bCs/>
          <w:sz w:val="21"/>
          <w:szCs w:val="21"/>
        </w:rPr>
        <w:t>jednání</w:t>
      </w:r>
    </w:p>
    <w:p w14:paraId="3EC8E9D8" w14:textId="77777777"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lang w:val="x-none"/>
        </w:rPr>
        <w:t xml:space="preserve">Zhotovitel se za podmínek stanovených touto smlouvou, v souladu s pokyny objednatele a při vynaložení veškeré potřebné odborné péče, zavazuje jako osoba povinná dle § 2 písm. e) zákona </w:t>
      </w:r>
      <w:r w:rsidRPr="000008E4">
        <w:rPr>
          <w:rFonts w:ascii="Tahoma" w:hAnsi="Tahoma" w:cs="Tahoma"/>
          <w:sz w:val="21"/>
          <w:szCs w:val="21"/>
        </w:rPr>
        <w:t xml:space="preserve"> </w:t>
      </w:r>
      <w:r w:rsidRPr="000008E4">
        <w:rPr>
          <w:rFonts w:ascii="Tahoma" w:hAnsi="Tahoma" w:cs="Tahoma"/>
          <w:sz w:val="21"/>
          <w:szCs w:val="21"/>
          <w:lang w:val="x-none"/>
        </w:rPr>
        <w:t xml:space="preserve">č. 320/2001 Sb., o finanční kontrole, </w:t>
      </w:r>
      <w:r w:rsidRPr="000008E4">
        <w:rPr>
          <w:rFonts w:ascii="Tahoma" w:hAnsi="Tahoma" w:cs="Tahoma"/>
          <w:sz w:val="21"/>
          <w:szCs w:val="21"/>
        </w:rPr>
        <w:t xml:space="preserve">ve znění pozdějších předpisů, </w:t>
      </w:r>
      <w:r w:rsidRPr="000008E4">
        <w:rPr>
          <w:rFonts w:ascii="Tahoma" w:hAnsi="Tahoma" w:cs="Tahoma"/>
          <w:sz w:val="21"/>
          <w:szCs w:val="21"/>
          <w:lang w:val="x-none"/>
        </w:rPr>
        <w:t>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r w:rsidRPr="000008E4">
        <w:rPr>
          <w:rFonts w:ascii="Tahoma" w:hAnsi="Tahoma" w:cs="Tahoma"/>
          <w:sz w:val="21"/>
          <w:szCs w:val="21"/>
        </w:rPr>
        <w:t xml:space="preserve"> (kontrolní řád)</w:t>
      </w:r>
      <w:r w:rsidRPr="000008E4">
        <w:rPr>
          <w:rFonts w:ascii="Tahoma" w:hAnsi="Tahoma" w:cs="Tahoma"/>
          <w:sz w:val="21"/>
          <w:szCs w:val="21"/>
          <w:lang w:val="x-none"/>
        </w:rPr>
        <w:t xml:space="preserve">. </w:t>
      </w:r>
    </w:p>
    <w:p w14:paraId="3CBFC901" w14:textId="77777777"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Změny nebo doplnění smlouvy lze učinit výlučně písemně formou dodatků potvrzených oprávněnými zástupci smluvních stran.</w:t>
      </w:r>
    </w:p>
    <w:p w14:paraId="248EF46C" w14:textId="77777777"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Smluvní strany řeší spory z této smlouvy vyplývající především vzájemnou dohodou. Nedojde-li k dohodě, předají strany spor věcně příslušnému soudu.</w:t>
      </w:r>
    </w:p>
    <w:p w14:paraId="1B438A89" w14:textId="77777777" w:rsidR="002974DA" w:rsidRPr="000008E4" w:rsidRDefault="002974DA" w:rsidP="003B14D5">
      <w:pPr>
        <w:keepLines/>
        <w:suppressAutoHyphens/>
        <w:spacing w:after="0"/>
        <w:jc w:val="both"/>
        <w:rPr>
          <w:rFonts w:ascii="Tahoma" w:hAnsi="Tahoma" w:cs="Tahoma"/>
          <w:sz w:val="21"/>
          <w:szCs w:val="21"/>
          <w:lang w:val="x-none"/>
        </w:rPr>
      </w:pPr>
      <w:r w:rsidRPr="000008E4">
        <w:rPr>
          <w:rFonts w:ascii="Tahoma" w:hAnsi="Tahoma" w:cs="Tahoma"/>
          <w:sz w:val="21"/>
          <w:szCs w:val="21"/>
          <w:lang w:val="x-none"/>
        </w:rPr>
        <w:t xml:space="preserve"> </w:t>
      </w:r>
    </w:p>
    <w:p w14:paraId="09265F32" w14:textId="77777777"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 xml:space="preserve">Smlouva je vyhotovena ve </w:t>
      </w:r>
      <w:r w:rsidRPr="000008E4">
        <w:rPr>
          <w:rFonts w:ascii="Tahoma" w:hAnsi="Tahoma" w:cs="Tahoma"/>
          <w:sz w:val="21"/>
          <w:szCs w:val="21"/>
        </w:rPr>
        <w:t>třech</w:t>
      </w:r>
      <w:r w:rsidRPr="000008E4">
        <w:rPr>
          <w:rFonts w:ascii="Tahoma" w:hAnsi="Tahoma" w:cs="Tahoma"/>
          <w:sz w:val="21"/>
          <w:szCs w:val="21"/>
          <w:lang w:val="x-none"/>
        </w:rPr>
        <w:t xml:space="preserve"> stejnopisech, z nichž </w:t>
      </w:r>
      <w:r w:rsidRPr="000008E4">
        <w:rPr>
          <w:rFonts w:ascii="Tahoma" w:hAnsi="Tahoma" w:cs="Tahoma"/>
          <w:sz w:val="21"/>
          <w:szCs w:val="21"/>
        </w:rPr>
        <w:t>dva</w:t>
      </w:r>
      <w:r w:rsidRPr="000008E4">
        <w:rPr>
          <w:rFonts w:ascii="Tahoma" w:hAnsi="Tahoma" w:cs="Tahoma"/>
          <w:sz w:val="21"/>
          <w:szCs w:val="21"/>
          <w:lang w:val="x-none"/>
        </w:rPr>
        <w:t xml:space="preserve"> obdrží</w:t>
      </w:r>
      <w:r w:rsidRPr="000008E4">
        <w:rPr>
          <w:rFonts w:ascii="Tahoma" w:hAnsi="Tahoma" w:cs="Tahoma"/>
          <w:sz w:val="21"/>
          <w:szCs w:val="21"/>
        </w:rPr>
        <w:t xml:space="preserve"> objednatel a jeden zhotovitel.</w:t>
      </w:r>
    </w:p>
    <w:p w14:paraId="0A292E6B" w14:textId="77777777" w:rsidR="00C26B1E" w:rsidRPr="003B14D5" w:rsidRDefault="00C26B1E" w:rsidP="003B14D5">
      <w:pPr>
        <w:keepLines/>
        <w:suppressAutoHyphens/>
        <w:spacing w:after="0" w:line="240" w:lineRule="auto"/>
        <w:ind w:left="426"/>
        <w:jc w:val="both"/>
        <w:rPr>
          <w:rFonts w:ascii="Tahoma" w:hAnsi="Tahoma" w:cs="Tahoma"/>
          <w:sz w:val="21"/>
          <w:szCs w:val="21"/>
          <w:lang w:val="x-none"/>
        </w:rPr>
      </w:pPr>
    </w:p>
    <w:p w14:paraId="57F3077F" w14:textId="4D4C7B76"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lastRenderedPageBreak/>
        <w:t xml:space="preserve">Tato smlouva o dílo je uzavřena na základě rozhodnutí </w:t>
      </w:r>
      <w:r>
        <w:rPr>
          <w:rFonts w:ascii="Tahoma" w:hAnsi="Tahoma" w:cs="Tahoma"/>
          <w:sz w:val="21"/>
          <w:szCs w:val="21"/>
        </w:rPr>
        <w:t>..</w:t>
      </w:r>
      <w:r w:rsidRPr="000008E4">
        <w:rPr>
          <w:rFonts w:ascii="Tahoma" w:hAnsi="Tahoma" w:cs="Tahoma"/>
          <w:sz w:val="21"/>
          <w:szCs w:val="21"/>
        </w:rPr>
        <w:t>. schůze Rady statutárního města Frýdku-Místku konané dne</w:t>
      </w:r>
      <w:proofErr w:type="gramStart"/>
      <w:r w:rsidRPr="000008E4">
        <w:rPr>
          <w:rFonts w:ascii="Tahoma" w:hAnsi="Tahoma" w:cs="Tahoma"/>
          <w:sz w:val="21"/>
          <w:szCs w:val="21"/>
        </w:rPr>
        <w:t xml:space="preserve"> </w:t>
      </w:r>
      <w:r>
        <w:rPr>
          <w:rFonts w:ascii="Tahoma" w:hAnsi="Tahoma" w:cs="Tahoma"/>
          <w:sz w:val="21"/>
          <w:szCs w:val="21"/>
        </w:rPr>
        <w:t>….</w:t>
      </w:r>
      <w:proofErr w:type="gramEnd"/>
      <w:r w:rsidRPr="000008E4">
        <w:rPr>
          <w:rFonts w:ascii="Tahoma" w:hAnsi="Tahoma" w:cs="Tahoma"/>
          <w:sz w:val="21"/>
          <w:szCs w:val="21"/>
        </w:rPr>
        <w:t>.</w:t>
      </w:r>
    </w:p>
    <w:p w14:paraId="09B8E0FF" w14:textId="77777777" w:rsidR="00C26B1E" w:rsidRDefault="00C26B1E" w:rsidP="003B14D5">
      <w:pPr>
        <w:keepLines/>
        <w:suppressAutoHyphens/>
        <w:spacing w:after="0"/>
        <w:ind w:left="425"/>
        <w:jc w:val="both"/>
        <w:rPr>
          <w:rFonts w:ascii="Tahoma" w:hAnsi="Tahoma" w:cs="Tahoma"/>
          <w:sz w:val="21"/>
          <w:szCs w:val="21"/>
        </w:rPr>
      </w:pPr>
    </w:p>
    <w:p w14:paraId="63E0A7B9" w14:textId="6D41A08B"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14:paraId="622BD769" w14:textId="77777777"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Zhotovitel bere na vědomí a výslovně souhlasí s tím, že smlouva včetně příloh a případných dodatků bude zveřejněna na profilu zadavatele.</w:t>
      </w:r>
    </w:p>
    <w:p w14:paraId="46F3D493" w14:textId="77777777"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14:paraId="132EE7CB" w14:textId="58E7F372" w:rsidR="002974DA" w:rsidRDefault="002974DA" w:rsidP="002974DA">
      <w:pPr>
        <w:ind w:left="360"/>
        <w:contextualSpacing/>
        <w:jc w:val="both"/>
        <w:rPr>
          <w:rFonts w:ascii="Tahoma" w:hAnsi="Tahoma" w:cs="Tahoma"/>
          <w:sz w:val="21"/>
          <w:szCs w:val="21"/>
        </w:rPr>
      </w:pPr>
    </w:p>
    <w:p w14:paraId="557342C4" w14:textId="41D54EB1" w:rsidR="00D9072C" w:rsidRDefault="00D9072C" w:rsidP="002974DA">
      <w:pPr>
        <w:ind w:left="360"/>
        <w:contextualSpacing/>
        <w:jc w:val="both"/>
        <w:rPr>
          <w:rFonts w:ascii="Tahoma" w:hAnsi="Tahoma" w:cs="Tahoma"/>
          <w:sz w:val="21"/>
          <w:szCs w:val="21"/>
        </w:rPr>
      </w:pPr>
    </w:p>
    <w:p w14:paraId="2F38AEF3" w14:textId="2C9C612B" w:rsidR="00D9072C" w:rsidRDefault="00D9072C" w:rsidP="002974DA">
      <w:pPr>
        <w:ind w:left="360"/>
        <w:contextualSpacing/>
        <w:jc w:val="both"/>
        <w:rPr>
          <w:rFonts w:ascii="Tahoma" w:hAnsi="Tahoma" w:cs="Tahoma"/>
          <w:sz w:val="21"/>
          <w:szCs w:val="21"/>
        </w:rPr>
      </w:pPr>
    </w:p>
    <w:p w14:paraId="097F08CD" w14:textId="77777777" w:rsidR="002974DA" w:rsidRDefault="002974DA" w:rsidP="002974DA">
      <w:pPr>
        <w:ind w:left="360"/>
        <w:contextualSpacing/>
        <w:jc w:val="both"/>
        <w:rPr>
          <w:rFonts w:ascii="Tahoma" w:hAnsi="Tahoma" w:cs="Tahoma"/>
          <w:sz w:val="21"/>
          <w:szCs w:val="21"/>
        </w:rPr>
      </w:pPr>
    </w:p>
    <w:p w14:paraId="698160D5" w14:textId="77777777" w:rsidR="002974DA" w:rsidRPr="000008E4" w:rsidRDefault="002974DA" w:rsidP="002974DA">
      <w:pPr>
        <w:ind w:left="360"/>
        <w:contextualSpacing/>
        <w:jc w:val="both"/>
        <w:rPr>
          <w:rFonts w:ascii="Tahoma" w:hAnsi="Tahoma" w:cs="Tahoma"/>
          <w:sz w:val="21"/>
          <w:szCs w:val="21"/>
        </w:rPr>
      </w:pPr>
    </w:p>
    <w:p w14:paraId="236CCCB5" w14:textId="77777777" w:rsidR="002974DA" w:rsidRPr="000008E4" w:rsidRDefault="002974DA" w:rsidP="002974DA">
      <w:pPr>
        <w:tabs>
          <w:tab w:val="left" w:pos="1132"/>
        </w:tabs>
        <w:rPr>
          <w:rFonts w:ascii="Tahoma" w:hAnsi="Tahoma" w:cs="Tahoma"/>
          <w:sz w:val="21"/>
          <w:szCs w:val="21"/>
          <w:u w:color="333399"/>
        </w:rPr>
      </w:pPr>
      <w:r w:rsidRPr="000008E4">
        <w:rPr>
          <w:rFonts w:ascii="Tahoma" w:hAnsi="Tahoma" w:cs="Tahoma"/>
          <w:sz w:val="21"/>
          <w:szCs w:val="21"/>
          <w:u w:color="333399"/>
        </w:rPr>
        <w:t xml:space="preserve">  Za objednatele</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Za zhotovitele:</w:t>
      </w:r>
    </w:p>
    <w:p w14:paraId="1FF602DD" w14:textId="77777777" w:rsidR="002974DA" w:rsidRDefault="002974DA" w:rsidP="002974DA">
      <w:pPr>
        <w:tabs>
          <w:tab w:val="left" w:pos="924"/>
        </w:tabs>
        <w:rPr>
          <w:rFonts w:ascii="Tahoma" w:hAnsi="Tahoma" w:cs="Tahoma"/>
          <w:sz w:val="21"/>
          <w:szCs w:val="21"/>
          <w:u w:color="333399"/>
        </w:rPr>
      </w:pPr>
      <w:r w:rsidRPr="000008E4">
        <w:rPr>
          <w:rFonts w:ascii="Tahoma" w:hAnsi="Tahoma" w:cs="Tahoma"/>
          <w:sz w:val="21"/>
          <w:szCs w:val="21"/>
          <w:u w:color="333399"/>
        </w:rPr>
        <w:t xml:space="preserve"> </w:t>
      </w:r>
    </w:p>
    <w:p w14:paraId="3BD89A39" w14:textId="77777777" w:rsidR="002974DA" w:rsidRDefault="002974DA" w:rsidP="002974DA">
      <w:pPr>
        <w:tabs>
          <w:tab w:val="left" w:pos="924"/>
        </w:tabs>
        <w:rPr>
          <w:rFonts w:ascii="Tahoma" w:hAnsi="Tahoma" w:cs="Tahoma"/>
          <w:sz w:val="21"/>
          <w:szCs w:val="21"/>
          <w:u w:color="333399"/>
        </w:rPr>
      </w:pPr>
    </w:p>
    <w:p w14:paraId="7FA1508C" w14:textId="30546733" w:rsidR="002974DA" w:rsidRPr="000008E4" w:rsidRDefault="002974DA" w:rsidP="002974DA">
      <w:pPr>
        <w:tabs>
          <w:tab w:val="left" w:pos="924"/>
        </w:tabs>
        <w:rPr>
          <w:rFonts w:ascii="Tahoma" w:hAnsi="Tahoma" w:cs="Tahoma"/>
          <w:sz w:val="21"/>
          <w:szCs w:val="21"/>
          <w:u w:color="333399"/>
        </w:rPr>
      </w:pPr>
      <w:r w:rsidRPr="000008E4">
        <w:rPr>
          <w:rFonts w:ascii="Tahoma" w:hAnsi="Tahoma" w:cs="Tahoma"/>
          <w:sz w:val="21"/>
          <w:szCs w:val="21"/>
          <w:u w:color="333399"/>
        </w:rPr>
        <w:t xml:space="preserve">Ve Frýdku-Místku                                </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 xml:space="preserve">V  </w:t>
      </w:r>
    </w:p>
    <w:p w14:paraId="6A9C14E0"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14:paraId="00D9C5B2" w14:textId="77777777" w:rsidR="002974DA"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 xml:space="preserve">    </w:t>
      </w:r>
    </w:p>
    <w:p w14:paraId="3EA7D142"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14:paraId="4713A7F8"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______________________</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__________________________</w:t>
      </w:r>
    </w:p>
    <w:p w14:paraId="51DD4020" w14:textId="3107CE65" w:rsidR="002974DA" w:rsidRPr="000008E4" w:rsidRDefault="002974DA" w:rsidP="003B14D5">
      <w:pPr>
        <w:keepNext/>
        <w:spacing w:after="0"/>
        <w:jc w:val="both"/>
        <w:rPr>
          <w:rFonts w:ascii="Tahoma" w:hAnsi="Tahoma" w:cs="Tahoma"/>
          <w:noProof/>
          <w:sz w:val="21"/>
          <w:szCs w:val="21"/>
        </w:rPr>
      </w:pPr>
      <w:r w:rsidRPr="000008E4">
        <w:rPr>
          <w:rFonts w:ascii="Tahoma" w:hAnsi="Tahoma" w:cs="Tahoma"/>
          <w:noProof/>
          <w:sz w:val="21"/>
          <w:szCs w:val="21"/>
        </w:rPr>
        <w:t xml:space="preserve">    Petr Korč                                                                     </w:t>
      </w:r>
    </w:p>
    <w:p w14:paraId="2FF1F1FA" w14:textId="77777777" w:rsidR="002974DA" w:rsidRPr="000008E4" w:rsidRDefault="002974DA" w:rsidP="002974DA">
      <w:pPr>
        <w:keepNext/>
        <w:jc w:val="both"/>
        <w:rPr>
          <w:rFonts w:ascii="Tahoma" w:hAnsi="Tahoma" w:cs="Tahoma"/>
          <w:noProof/>
          <w:sz w:val="21"/>
          <w:szCs w:val="21"/>
        </w:rPr>
      </w:pPr>
      <w:r w:rsidRPr="000008E4">
        <w:rPr>
          <w:rFonts w:ascii="Tahoma" w:hAnsi="Tahoma" w:cs="Tahoma"/>
          <w:noProof/>
          <w:sz w:val="21"/>
          <w:szCs w:val="21"/>
        </w:rPr>
        <w:t xml:space="preserve">    primátor                                                                                    </w:t>
      </w:r>
    </w:p>
    <w:p w14:paraId="6FDCE24D" w14:textId="77777777" w:rsidR="002974DA" w:rsidRPr="000008E4" w:rsidRDefault="002974DA" w:rsidP="002974DA">
      <w:pPr>
        <w:keepNext/>
        <w:tabs>
          <w:tab w:val="left" w:pos="4395"/>
        </w:tabs>
        <w:spacing w:before="240"/>
        <w:ind w:left="567"/>
        <w:contextualSpacing/>
        <w:jc w:val="both"/>
        <w:rPr>
          <w:rFonts w:ascii="Tahoma" w:hAnsi="Tahoma" w:cs="Tahoma"/>
          <w:sz w:val="21"/>
          <w:szCs w:val="21"/>
        </w:rPr>
      </w:pPr>
    </w:p>
    <w:p w14:paraId="7D700478" w14:textId="77777777" w:rsidR="002974DA" w:rsidRPr="00325C3D" w:rsidRDefault="002974DA" w:rsidP="002974DA">
      <w:pPr>
        <w:rPr>
          <w:rFonts w:ascii="Tahoma" w:hAnsi="Tahoma" w:cs="Tahoma"/>
          <w:sz w:val="21"/>
          <w:szCs w:val="21"/>
        </w:rPr>
      </w:pPr>
    </w:p>
    <w:p w14:paraId="768E2F75" w14:textId="77777777" w:rsidR="00EB3492" w:rsidRPr="00731B59" w:rsidRDefault="00EB3492" w:rsidP="002974DA">
      <w:pPr>
        <w:spacing w:after="120" w:line="240" w:lineRule="auto"/>
        <w:jc w:val="both"/>
        <w:rPr>
          <w:rFonts w:ascii="Tahoma" w:hAnsi="Tahoma" w:cs="Tahoma"/>
          <w:sz w:val="21"/>
          <w:szCs w:val="21"/>
        </w:rPr>
      </w:pPr>
    </w:p>
    <w:sectPr w:rsidR="00EB3492" w:rsidRPr="00731B59" w:rsidSect="00F17502">
      <w:headerReference w:type="default" r:id="rId11"/>
      <w:footerReference w:type="default" r:id="rId12"/>
      <w:pgSz w:w="11906" w:h="16838"/>
      <w:pgMar w:top="1418" w:right="1418" w:bottom="1418" w:left="1418"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EC0C29" w16cex:dateUtc="2024-05-28T1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C2DE4" w14:textId="77777777" w:rsidR="00877261" w:rsidRDefault="00877261" w:rsidP="00501806">
      <w:pPr>
        <w:spacing w:after="0" w:line="240" w:lineRule="auto"/>
      </w:pPr>
      <w:r>
        <w:separator/>
      </w:r>
    </w:p>
  </w:endnote>
  <w:endnote w:type="continuationSeparator" w:id="0">
    <w:p w14:paraId="7A0BE6EE" w14:textId="77777777" w:rsidR="00877261" w:rsidRDefault="00877261"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A2B0" w14:textId="77777777" w:rsidR="00A54C3C" w:rsidRDefault="00A54C3C">
    <w:pPr>
      <w:pStyle w:val="Zpat"/>
    </w:pPr>
  </w:p>
  <w:sdt>
    <w:sdtPr>
      <w:id w:val="94991020"/>
      <w:docPartObj>
        <w:docPartGallery w:val="Page Numbers (Bottom of Page)"/>
        <w:docPartUnique/>
      </w:docPartObj>
    </w:sdtPr>
    <w:sdtEndPr/>
    <w:sdtContent>
      <w:p w14:paraId="4DFC3113" w14:textId="77777777" w:rsidR="00A54C3C" w:rsidRPr="004D0014" w:rsidRDefault="00A54C3C" w:rsidP="004D0014">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Pr>
            <w:rFonts w:ascii="Arial" w:hAnsi="Arial" w:cs="Arial"/>
            <w:i/>
            <w:iCs/>
            <w:noProof/>
            <w:sz w:val="18"/>
            <w:szCs w:val="18"/>
          </w:rPr>
          <w:t>1</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Pr>
            <w:rFonts w:ascii="Arial" w:hAnsi="Arial" w:cs="Arial"/>
            <w:i/>
            <w:iCs/>
            <w:noProof/>
            <w:sz w:val="18"/>
            <w:szCs w:val="18"/>
          </w:rPr>
          <w:t>9</w:t>
        </w:r>
        <w:r w:rsidRPr="00D92E8E">
          <w:rPr>
            <w:rFonts w:ascii="Arial" w:hAnsi="Arial" w:cs="Arial"/>
            <w:i/>
            <w:iCs/>
            <w:sz w:val="18"/>
            <w:szCs w:val="18"/>
          </w:rPr>
          <w:fldChar w:fldCharType="end"/>
        </w:r>
        <w:r>
          <w:rPr>
            <w:rFonts w:ascii="Arial" w:hAnsi="Arial" w:cs="Arial"/>
            <w:i/>
            <w:iCs/>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E46C" w14:textId="77777777" w:rsidR="00877261" w:rsidRDefault="00877261" w:rsidP="00501806">
      <w:pPr>
        <w:spacing w:after="0" w:line="240" w:lineRule="auto"/>
      </w:pPr>
      <w:r>
        <w:separator/>
      </w:r>
    </w:p>
  </w:footnote>
  <w:footnote w:type="continuationSeparator" w:id="0">
    <w:p w14:paraId="7B2016BF" w14:textId="77777777" w:rsidR="00877261" w:rsidRDefault="00877261"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3E71" w14:textId="77777777" w:rsidR="00A54C3C" w:rsidRDefault="00A54C3C" w:rsidP="00473DF4">
    <w:pPr>
      <w:pStyle w:val="Zhlav"/>
      <w:jc w:val="right"/>
    </w:pPr>
    <w:r w:rsidRPr="00F13AFE">
      <w:rPr>
        <w:rFonts w:ascii="Tahoma" w:hAnsi="Tahoma" w:cs="Tahoma"/>
        <w:noProof/>
        <w:lang w:eastAsia="cs-CZ"/>
      </w:rPr>
      <w:drawing>
        <wp:inline distT="0" distB="0" distL="0" distR="0" wp14:anchorId="52AD698D" wp14:editId="61B716D8">
          <wp:extent cx="2247900" cy="581025"/>
          <wp:effectExtent l="0" t="0" r="0" b="9525"/>
          <wp:docPr id="3" name="Obrázek 3"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14:paraId="4E8B9AF8" w14:textId="77777777" w:rsidR="002239F3" w:rsidRPr="00B922CC" w:rsidRDefault="002239F3" w:rsidP="002239F3">
    <w:pPr>
      <w:autoSpaceDE w:val="0"/>
      <w:autoSpaceDN w:val="0"/>
      <w:adjustRightInd w:val="0"/>
      <w:spacing w:after="0" w:line="240" w:lineRule="auto"/>
      <w:ind w:left="2268" w:hanging="2268"/>
      <w:jc w:val="both"/>
      <w:rPr>
        <w:rFonts w:ascii="Tahoma" w:hAnsi="Tahoma" w:cs="Tahoma"/>
        <w:bCs/>
        <w:i/>
        <w:sz w:val="20"/>
        <w:szCs w:val="20"/>
      </w:rPr>
    </w:pPr>
    <w:r w:rsidRPr="00B922CC">
      <w:rPr>
        <w:rFonts w:ascii="Tahoma" w:hAnsi="Tahoma" w:cs="Tahoma"/>
        <w:i/>
        <w:iCs/>
        <w:sz w:val="20"/>
        <w:szCs w:val="20"/>
      </w:rPr>
      <w:t>Název veřejné zakázky: Zpracování PD –</w:t>
    </w:r>
    <w:r>
      <w:rPr>
        <w:rFonts w:ascii="Tahoma" w:hAnsi="Tahoma" w:cs="Tahoma"/>
        <w:i/>
        <w:iCs/>
        <w:sz w:val="20"/>
        <w:szCs w:val="20"/>
      </w:rPr>
      <w:t xml:space="preserve"> Lískovec, Hájek – doplnění VO a nového napájecího místa</w:t>
    </w:r>
  </w:p>
  <w:p w14:paraId="5CC4F1BC" w14:textId="77777777" w:rsidR="002239F3" w:rsidRPr="00B922CC" w:rsidRDefault="002239F3" w:rsidP="002239F3">
    <w:pPr>
      <w:pStyle w:val="Zhlav"/>
      <w:rPr>
        <w:sz w:val="20"/>
        <w:szCs w:val="20"/>
      </w:rPr>
    </w:pPr>
    <w:r w:rsidRPr="00B922CC">
      <w:rPr>
        <w:rFonts w:ascii="Tahoma" w:hAnsi="Tahoma" w:cs="Tahoma"/>
        <w:i/>
        <w:sz w:val="20"/>
        <w:szCs w:val="20"/>
      </w:rPr>
      <w:t>Číslo veřejné zakázky: P</w:t>
    </w:r>
    <w:r>
      <w:rPr>
        <w:rFonts w:ascii="Tahoma" w:hAnsi="Tahoma" w:cs="Tahoma"/>
        <w:i/>
        <w:sz w:val="20"/>
        <w:szCs w:val="20"/>
      </w:rPr>
      <w:t>25</w:t>
    </w:r>
    <w:r w:rsidRPr="00B922CC">
      <w:rPr>
        <w:rFonts w:ascii="Tahoma" w:hAnsi="Tahoma" w:cs="Tahoma"/>
        <w:i/>
        <w:sz w:val="20"/>
        <w:szCs w:val="20"/>
      </w:rPr>
      <w:t>V00000</w:t>
    </w:r>
    <w:r>
      <w:rPr>
        <w:rFonts w:ascii="Tahoma" w:hAnsi="Tahoma" w:cs="Tahoma"/>
        <w:i/>
        <w:sz w:val="20"/>
        <w:szCs w:val="20"/>
      </w:rPr>
      <w:t>034</w:t>
    </w:r>
    <w:r w:rsidRPr="00B922CC">
      <w:rPr>
        <w:rFonts w:ascii="Tahoma" w:hAnsi="Tahoma" w:cs="Tahoma"/>
        <w:i/>
        <w:sz w:val="20"/>
        <w:szCs w:val="20"/>
      </w:rPr>
      <w:t xml:space="preserve">                                                                                      </w:t>
    </w:r>
  </w:p>
  <w:p w14:paraId="0A7AAABE" w14:textId="77777777" w:rsidR="002239F3" w:rsidRPr="00473DF4" w:rsidRDefault="002239F3" w:rsidP="002239F3">
    <w:pPr>
      <w:pStyle w:val="Zhlav"/>
    </w:pPr>
    <w:r w:rsidRPr="00473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multilevel"/>
    <w:tmpl w:val="D2D60FB8"/>
    <w:name w:val="WW8Num3"/>
    <w:lvl w:ilvl="0">
      <w:start w:val="5"/>
      <w:numFmt w:val="decimal"/>
      <w:lvlText w:val="%1"/>
      <w:lvlJc w:val="left"/>
      <w:pPr>
        <w:tabs>
          <w:tab w:val="num" w:pos="-65"/>
        </w:tabs>
        <w:ind w:left="-65" w:hanging="360"/>
      </w:pPr>
      <w:rPr>
        <w:rFonts w:cs="Times New Roman"/>
      </w:rPr>
    </w:lvl>
    <w:lvl w:ilvl="1">
      <w:start w:val="1"/>
      <w:numFmt w:val="decimal"/>
      <w:lvlText w:val="%2."/>
      <w:lvlJc w:val="left"/>
      <w:pPr>
        <w:tabs>
          <w:tab w:val="num" w:pos="-65"/>
        </w:tabs>
        <w:ind w:left="-65" w:hanging="360"/>
      </w:pPr>
      <w:rPr>
        <w:rFonts w:ascii="Arial" w:eastAsia="Times New Roman" w:hAnsi="Arial" w:cs="Arial"/>
      </w:rPr>
    </w:lvl>
    <w:lvl w:ilvl="2">
      <w:start w:val="1"/>
      <w:numFmt w:val="decimal"/>
      <w:lvlText w:val="%1.%2.%3"/>
      <w:lvlJc w:val="left"/>
      <w:pPr>
        <w:tabs>
          <w:tab w:val="num" w:pos="295"/>
        </w:tabs>
        <w:ind w:left="295" w:hanging="720"/>
      </w:pPr>
      <w:rPr>
        <w:rFonts w:cs="Times New Roman"/>
      </w:rPr>
    </w:lvl>
    <w:lvl w:ilvl="3">
      <w:start w:val="1"/>
      <w:numFmt w:val="decimal"/>
      <w:lvlText w:val="%1.%2.%3.%4"/>
      <w:lvlJc w:val="left"/>
      <w:pPr>
        <w:tabs>
          <w:tab w:val="num" w:pos="295"/>
        </w:tabs>
        <w:ind w:left="295" w:hanging="720"/>
      </w:pPr>
      <w:rPr>
        <w:rFonts w:cs="Times New Roman"/>
      </w:rPr>
    </w:lvl>
    <w:lvl w:ilvl="4">
      <w:start w:val="1"/>
      <w:numFmt w:val="decimal"/>
      <w:lvlText w:val="%1.%2.%3.%4.%5"/>
      <w:lvlJc w:val="left"/>
      <w:pPr>
        <w:tabs>
          <w:tab w:val="num" w:pos="655"/>
        </w:tabs>
        <w:ind w:left="655" w:hanging="1080"/>
      </w:pPr>
      <w:rPr>
        <w:rFonts w:cs="Times New Roman"/>
      </w:rPr>
    </w:lvl>
    <w:lvl w:ilvl="5">
      <w:start w:val="1"/>
      <w:numFmt w:val="decimal"/>
      <w:lvlText w:val="%1.%2.%3.%4.%5.%6"/>
      <w:lvlJc w:val="left"/>
      <w:pPr>
        <w:tabs>
          <w:tab w:val="num" w:pos="655"/>
        </w:tabs>
        <w:ind w:left="655" w:hanging="1080"/>
      </w:pPr>
      <w:rPr>
        <w:rFonts w:cs="Times New Roman"/>
      </w:rPr>
    </w:lvl>
    <w:lvl w:ilvl="6">
      <w:start w:val="1"/>
      <w:numFmt w:val="decimal"/>
      <w:lvlText w:val="%1.%2.%3.%4.%5.%6.%7"/>
      <w:lvlJc w:val="left"/>
      <w:pPr>
        <w:tabs>
          <w:tab w:val="num" w:pos="1015"/>
        </w:tabs>
        <w:ind w:left="1015" w:hanging="1440"/>
      </w:pPr>
      <w:rPr>
        <w:rFonts w:cs="Times New Roman"/>
      </w:rPr>
    </w:lvl>
    <w:lvl w:ilvl="7">
      <w:start w:val="1"/>
      <w:numFmt w:val="decimal"/>
      <w:lvlText w:val="%1.%2.%3.%4.%5.%6.%7.%8"/>
      <w:lvlJc w:val="left"/>
      <w:pPr>
        <w:tabs>
          <w:tab w:val="num" w:pos="1015"/>
        </w:tabs>
        <w:ind w:left="1015" w:hanging="1440"/>
      </w:pPr>
      <w:rPr>
        <w:rFonts w:cs="Times New Roman"/>
      </w:rPr>
    </w:lvl>
    <w:lvl w:ilvl="8">
      <w:start w:val="1"/>
      <w:numFmt w:val="decimal"/>
      <w:lvlText w:val="%1.%2.%3.%4.%5.%6.%7.%8.%9"/>
      <w:lvlJc w:val="left"/>
      <w:pPr>
        <w:tabs>
          <w:tab w:val="num" w:pos="1015"/>
        </w:tabs>
        <w:ind w:left="1015" w:hanging="1440"/>
      </w:pPr>
      <w:rPr>
        <w:rFonts w:cs="Times New Roman"/>
      </w:r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02FA56D1"/>
    <w:multiLevelType w:val="hybridMultilevel"/>
    <w:tmpl w:val="6ED0BA9E"/>
    <w:lvl w:ilvl="0" w:tplc="E0CECFF8">
      <w:start w:val="1"/>
      <w:numFmt w:val="bullet"/>
      <w:lvlText w:val="-"/>
      <w:lvlJc w:val="left"/>
      <w:pPr>
        <w:ind w:left="720" w:hanging="360"/>
      </w:pPr>
      <w:rPr>
        <w:rFonts w:ascii="Arial Narrow" w:eastAsia="Times New Roman" w:hAnsi="Arial Narrow"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3A912C8"/>
    <w:multiLevelType w:val="multilevel"/>
    <w:tmpl w:val="E6DE597A"/>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054689"/>
    <w:multiLevelType w:val="multilevel"/>
    <w:tmpl w:val="8A881168"/>
    <w:lvl w:ilvl="0">
      <w:start w:val="3"/>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1AA72C69"/>
    <w:multiLevelType w:val="hybridMultilevel"/>
    <w:tmpl w:val="6D60901E"/>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9468D5BA">
      <w:start w:val="1"/>
      <w:numFmt w:val="decimal"/>
      <w:lvlText w:val="%4."/>
      <w:lvlJc w:val="left"/>
      <w:pPr>
        <w:ind w:left="5059" w:hanging="360"/>
      </w:pPr>
      <w:rPr>
        <w:b w:val="0"/>
      </w:r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4" w15:restartNumberingAfterBreak="0">
    <w:nsid w:val="1AE60D38"/>
    <w:multiLevelType w:val="hybridMultilevel"/>
    <w:tmpl w:val="2ED28BE6"/>
    <w:lvl w:ilvl="0" w:tplc="0405000F">
      <w:start w:val="3"/>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D6E466F"/>
    <w:multiLevelType w:val="hybridMultilevel"/>
    <w:tmpl w:val="C0A87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rPr>
        <w:rFonts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F57769"/>
    <w:multiLevelType w:val="hybridMultilevel"/>
    <w:tmpl w:val="FFFFFFFF"/>
    <w:lvl w:ilvl="0" w:tplc="0405000F">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17966A9"/>
    <w:multiLevelType w:val="hybridMultilevel"/>
    <w:tmpl w:val="451C8FF6"/>
    <w:lvl w:ilvl="0" w:tplc="E0CECFF8">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62B08A5"/>
    <w:multiLevelType w:val="multilevel"/>
    <w:tmpl w:val="A9F82880"/>
    <w:lvl w:ilvl="0">
      <w:start w:val="3"/>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0" w15:restartNumberingAfterBreak="0">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2FE22B36"/>
    <w:multiLevelType w:val="multilevel"/>
    <w:tmpl w:val="C8064C5A"/>
    <w:lvl w:ilvl="0">
      <w:start w:val="7"/>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3" w15:restartNumberingAfterBreak="0">
    <w:nsid w:val="31C513DC"/>
    <w:multiLevelType w:val="hybridMultilevel"/>
    <w:tmpl w:val="493C0B60"/>
    <w:lvl w:ilvl="0" w:tplc="0405000B">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24" w15:restartNumberingAfterBreak="0">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659388F"/>
    <w:multiLevelType w:val="hybridMultilevel"/>
    <w:tmpl w:val="C92C51B4"/>
    <w:lvl w:ilvl="0" w:tplc="4574EFB0">
      <w:start w:val="2"/>
      <w:numFmt w:val="decimal"/>
      <w:lvlText w:val="%1."/>
      <w:lvlJc w:val="left"/>
      <w:pPr>
        <w:ind w:left="862" w:hanging="360"/>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26" w15:restartNumberingAfterBreak="0">
    <w:nsid w:val="37697590"/>
    <w:multiLevelType w:val="hybridMultilevel"/>
    <w:tmpl w:val="3DE8367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3A95280F"/>
    <w:multiLevelType w:val="multilevel"/>
    <w:tmpl w:val="24A07E2A"/>
    <w:lvl w:ilvl="0">
      <w:start w:val="3"/>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9"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0" w15:restartNumberingAfterBreak="0">
    <w:nsid w:val="55113E6F"/>
    <w:multiLevelType w:val="hybridMultilevel"/>
    <w:tmpl w:val="D24C626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1" w15:restartNumberingAfterBreak="0">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2" w15:restartNumberingAfterBreak="0">
    <w:nsid w:val="5A3E3D87"/>
    <w:multiLevelType w:val="multilevel"/>
    <w:tmpl w:val="3B9E8900"/>
    <w:lvl w:ilvl="0">
      <w:start w:val="3"/>
      <w:numFmt w:val="decimal"/>
      <w:lvlText w:val="%1"/>
      <w:lvlJc w:val="left"/>
      <w:pPr>
        <w:ind w:left="360" w:hanging="36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3" w15:restartNumberingAfterBreak="0">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4"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5" w15:restartNumberingAfterBreak="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1E1665"/>
    <w:multiLevelType w:val="hybridMultilevel"/>
    <w:tmpl w:val="3FB6975C"/>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338253D8">
      <w:start w:val="1"/>
      <w:numFmt w:val="lowerLetter"/>
      <w:lvlText w:val="%4)"/>
      <w:lvlJc w:val="left"/>
      <w:pPr>
        <w:ind w:left="2771"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8"/>
  </w:num>
  <w:num w:numId="2">
    <w:abstractNumId w:val="5"/>
  </w:num>
  <w:num w:numId="3">
    <w:abstractNumId w:val="6"/>
  </w:num>
  <w:num w:numId="4">
    <w:abstractNumId w:val="1"/>
  </w:num>
  <w:num w:numId="5">
    <w:abstractNumId w:val="4"/>
  </w:num>
  <w:num w:numId="6">
    <w:abstractNumId w:val="2"/>
  </w:num>
  <w:num w:numId="7">
    <w:abstractNumId w:val="28"/>
  </w:num>
  <w:num w:numId="8">
    <w:abstractNumId w:val="30"/>
  </w:num>
  <w:num w:numId="9">
    <w:abstractNumId w:val="9"/>
  </w:num>
  <w:num w:numId="10">
    <w:abstractNumId w:val="29"/>
    <w:lvlOverride w:ilvl="0">
      <w:startOverride w:val="1"/>
    </w:lvlOverride>
  </w:num>
  <w:num w:numId="11">
    <w:abstractNumId w:val="8"/>
  </w:num>
  <w:num w:numId="12">
    <w:abstractNumId w:val="24"/>
  </w:num>
  <w:num w:numId="13">
    <w:abstractNumId w:val="11"/>
  </w:num>
  <w:num w:numId="14">
    <w:abstractNumId w:val="22"/>
  </w:num>
  <w:num w:numId="15">
    <w:abstractNumId w:val="35"/>
  </w:num>
  <w:num w:numId="16">
    <w:abstractNumId w:val="34"/>
  </w:num>
  <w:num w:numId="17">
    <w:abstractNumId w:val="13"/>
  </w:num>
  <w:num w:numId="18">
    <w:abstractNumId w:val="36"/>
  </w:num>
  <w:num w:numId="19">
    <w:abstractNumId w:val="7"/>
  </w:num>
  <w:num w:numId="20">
    <w:abstractNumId w:val="33"/>
  </w:num>
  <w:num w:numId="21">
    <w:abstractNumId w:val="31"/>
  </w:num>
  <w:num w:numId="22">
    <w:abstractNumId w:val="20"/>
  </w:num>
  <w:num w:numId="23">
    <w:abstractNumId w:val="0"/>
  </w:num>
  <w:num w:numId="24">
    <w:abstractNumId w:val="14"/>
  </w:num>
  <w:num w:numId="25">
    <w:abstractNumId w:val="25"/>
  </w:num>
  <w:num w:numId="26">
    <w:abstractNumId w:val="32"/>
  </w:num>
  <w:num w:numId="27">
    <w:abstractNumId w:val="19"/>
  </w:num>
  <w:num w:numId="28">
    <w:abstractNumId w:val="27"/>
  </w:num>
  <w:num w:numId="29">
    <w:abstractNumId w:val="21"/>
  </w:num>
  <w:num w:numId="30">
    <w:abstractNumId w:val="26"/>
  </w:num>
  <w:num w:numId="31">
    <w:abstractNumId w:val="17"/>
  </w:num>
  <w:num w:numId="32">
    <w:abstractNumId w:val="12"/>
  </w:num>
  <w:num w:numId="33">
    <w:abstractNumId w:val="23"/>
  </w:num>
  <w:num w:numId="34">
    <w:abstractNumId w:val="16"/>
  </w:num>
  <w:num w:numId="35">
    <w:abstractNumId w:val="10"/>
  </w:num>
  <w:num w:numId="3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91"/>
    <w:rsid w:val="00006DBF"/>
    <w:rsid w:val="00006FE0"/>
    <w:rsid w:val="00013BCB"/>
    <w:rsid w:val="000140B5"/>
    <w:rsid w:val="000210BA"/>
    <w:rsid w:val="00023D1F"/>
    <w:rsid w:val="00026ABC"/>
    <w:rsid w:val="0002760D"/>
    <w:rsid w:val="0003488B"/>
    <w:rsid w:val="000369F3"/>
    <w:rsid w:val="00037888"/>
    <w:rsid w:val="00041B51"/>
    <w:rsid w:val="00043414"/>
    <w:rsid w:val="0005182D"/>
    <w:rsid w:val="00052B7E"/>
    <w:rsid w:val="00053A3F"/>
    <w:rsid w:val="00053D39"/>
    <w:rsid w:val="00054073"/>
    <w:rsid w:val="00054719"/>
    <w:rsid w:val="00056332"/>
    <w:rsid w:val="00060F43"/>
    <w:rsid w:val="000632A9"/>
    <w:rsid w:val="000668A7"/>
    <w:rsid w:val="0008326C"/>
    <w:rsid w:val="000839EF"/>
    <w:rsid w:val="000845C7"/>
    <w:rsid w:val="00085EEB"/>
    <w:rsid w:val="0008711A"/>
    <w:rsid w:val="000875F2"/>
    <w:rsid w:val="00090AD2"/>
    <w:rsid w:val="0009262A"/>
    <w:rsid w:val="00092E01"/>
    <w:rsid w:val="000968AB"/>
    <w:rsid w:val="000975D5"/>
    <w:rsid w:val="000A4EB5"/>
    <w:rsid w:val="000A624F"/>
    <w:rsid w:val="000B3667"/>
    <w:rsid w:val="000B488F"/>
    <w:rsid w:val="000C2652"/>
    <w:rsid w:val="000C71F5"/>
    <w:rsid w:val="000D1840"/>
    <w:rsid w:val="000D6D68"/>
    <w:rsid w:val="000E1FA7"/>
    <w:rsid w:val="000E6901"/>
    <w:rsid w:val="000E6CB7"/>
    <w:rsid w:val="000F40C1"/>
    <w:rsid w:val="000F5C22"/>
    <w:rsid w:val="000F5CB8"/>
    <w:rsid w:val="000F6112"/>
    <w:rsid w:val="000F6300"/>
    <w:rsid w:val="000F64F6"/>
    <w:rsid w:val="00105D9F"/>
    <w:rsid w:val="001110F7"/>
    <w:rsid w:val="00114979"/>
    <w:rsid w:val="00114A40"/>
    <w:rsid w:val="00115B37"/>
    <w:rsid w:val="00121478"/>
    <w:rsid w:val="001219D6"/>
    <w:rsid w:val="00121BA3"/>
    <w:rsid w:val="00123BFC"/>
    <w:rsid w:val="00125CFE"/>
    <w:rsid w:val="00133CCD"/>
    <w:rsid w:val="00133F79"/>
    <w:rsid w:val="001349D8"/>
    <w:rsid w:val="00135647"/>
    <w:rsid w:val="00135FC4"/>
    <w:rsid w:val="0013682C"/>
    <w:rsid w:val="0014146F"/>
    <w:rsid w:val="001417ED"/>
    <w:rsid w:val="00144731"/>
    <w:rsid w:val="00144B21"/>
    <w:rsid w:val="00147E26"/>
    <w:rsid w:val="00147EA0"/>
    <w:rsid w:val="00150277"/>
    <w:rsid w:val="00150A81"/>
    <w:rsid w:val="00150BF0"/>
    <w:rsid w:val="0015309B"/>
    <w:rsid w:val="00153711"/>
    <w:rsid w:val="00153FF6"/>
    <w:rsid w:val="001621BC"/>
    <w:rsid w:val="00164FEA"/>
    <w:rsid w:val="00167B1F"/>
    <w:rsid w:val="0017239E"/>
    <w:rsid w:val="00172727"/>
    <w:rsid w:val="00172B62"/>
    <w:rsid w:val="00175AD3"/>
    <w:rsid w:val="00175CA0"/>
    <w:rsid w:val="0017795A"/>
    <w:rsid w:val="0018211C"/>
    <w:rsid w:val="00185197"/>
    <w:rsid w:val="00186DC1"/>
    <w:rsid w:val="0019177A"/>
    <w:rsid w:val="00192823"/>
    <w:rsid w:val="001940AD"/>
    <w:rsid w:val="0019604A"/>
    <w:rsid w:val="001960A8"/>
    <w:rsid w:val="001A2088"/>
    <w:rsid w:val="001A21DF"/>
    <w:rsid w:val="001A3129"/>
    <w:rsid w:val="001A3C7A"/>
    <w:rsid w:val="001A6FD3"/>
    <w:rsid w:val="001A7548"/>
    <w:rsid w:val="001B400E"/>
    <w:rsid w:val="001B69E4"/>
    <w:rsid w:val="001B6E9B"/>
    <w:rsid w:val="001C6C67"/>
    <w:rsid w:val="001C72B9"/>
    <w:rsid w:val="001C7708"/>
    <w:rsid w:val="001C7990"/>
    <w:rsid w:val="001D1D2C"/>
    <w:rsid w:val="001D47A0"/>
    <w:rsid w:val="001E1BDD"/>
    <w:rsid w:val="001E1CDF"/>
    <w:rsid w:val="001E458B"/>
    <w:rsid w:val="001E7E90"/>
    <w:rsid w:val="001F0F68"/>
    <w:rsid w:val="001F2865"/>
    <w:rsid w:val="001F3546"/>
    <w:rsid w:val="002006CF"/>
    <w:rsid w:val="002008D0"/>
    <w:rsid w:val="00201F64"/>
    <w:rsid w:val="002047B7"/>
    <w:rsid w:val="0021136B"/>
    <w:rsid w:val="0021378D"/>
    <w:rsid w:val="00216644"/>
    <w:rsid w:val="00220698"/>
    <w:rsid w:val="00220E95"/>
    <w:rsid w:val="0022141F"/>
    <w:rsid w:val="00221830"/>
    <w:rsid w:val="0022342E"/>
    <w:rsid w:val="002239F3"/>
    <w:rsid w:val="00225003"/>
    <w:rsid w:val="00233AB5"/>
    <w:rsid w:val="00235948"/>
    <w:rsid w:val="002371E9"/>
    <w:rsid w:val="00242186"/>
    <w:rsid w:val="002438F6"/>
    <w:rsid w:val="00244821"/>
    <w:rsid w:val="00244910"/>
    <w:rsid w:val="0024557E"/>
    <w:rsid w:val="002459A9"/>
    <w:rsid w:val="00246743"/>
    <w:rsid w:val="00246CCF"/>
    <w:rsid w:val="00247547"/>
    <w:rsid w:val="002553D2"/>
    <w:rsid w:val="002561BE"/>
    <w:rsid w:val="002561E9"/>
    <w:rsid w:val="00257B51"/>
    <w:rsid w:val="00257E8E"/>
    <w:rsid w:val="00257FF5"/>
    <w:rsid w:val="00260E06"/>
    <w:rsid w:val="002635CC"/>
    <w:rsid w:val="00272221"/>
    <w:rsid w:val="00273548"/>
    <w:rsid w:val="00273F8A"/>
    <w:rsid w:val="002777AD"/>
    <w:rsid w:val="0027788E"/>
    <w:rsid w:val="0028034E"/>
    <w:rsid w:val="002817CB"/>
    <w:rsid w:val="002830AB"/>
    <w:rsid w:val="00283D6C"/>
    <w:rsid w:val="002850BF"/>
    <w:rsid w:val="0028546B"/>
    <w:rsid w:val="00285938"/>
    <w:rsid w:val="00294B14"/>
    <w:rsid w:val="00295CC3"/>
    <w:rsid w:val="002974DA"/>
    <w:rsid w:val="002A0C2D"/>
    <w:rsid w:val="002A10D0"/>
    <w:rsid w:val="002A1129"/>
    <w:rsid w:val="002A5BA5"/>
    <w:rsid w:val="002A6EB4"/>
    <w:rsid w:val="002B12FB"/>
    <w:rsid w:val="002B17F8"/>
    <w:rsid w:val="002B197E"/>
    <w:rsid w:val="002B3B0A"/>
    <w:rsid w:val="002B5DA6"/>
    <w:rsid w:val="002B7564"/>
    <w:rsid w:val="002C0DAD"/>
    <w:rsid w:val="002C27C7"/>
    <w:rsid w:val="002C38D9"/>
    <w:rsid w:val="002C4BD6"/>
    <w:rsid w:val="002C521A"/>
    <w:rsid w:val="002C7194"/>
    <w:rsid w:val="002C7F79"/>
    <w:rsid w:val="002D0A99"/>
    <w:rsid w:val="002D1106"/>
    <w:rsid w:val="002D1440"/>
    <w:rsid w:val="002D3374"/>
    <w:rsid w:val="002D57AD"/>
    <w:rsid w:val="002E1541"/>
    <w:rsid w:val="002E4A9F"/>
    <w:rsid w:val="002E4C38"/>
    <w:rsid w:val="002E5D33"/>
    <w:rsid w:val="002E7CC5"/>
    <w:rsid w:val="002F0A5A"/>
    <w:rsid w:val="002F0B02"/>
    <w:rsid w:val="002F34AD"/>
    <w:rsid w:val="002F379D"/>
    <w:rsid w:val="002F7BA4"/>
    <w:rsid w:val="00301CA4"/>
    <w:rsid w:val="003046C6"/>
    <w:rsid w:val="00311E43"/>
    <w:rsid w:val="003125EB"/>
    <w:rsid w:val="003130C1"/>
    <w:rsid w:val="003150C2"/>
    <w:rsid w:val="0031573C"/>
    <w:rsid w:val="00324558"/>
    <w:rsid w:val="00324E9D"/>
    <w:rsid w:val="00330201"/>
    <w:rsid w:val="00337B51"/>
    <w:rsid w:val="00341A29"/>
    <w:rsid w:val="0034201E"/>
    <w:rsid w:val="003465C6"/>
    <w:rsid w:val="00353308"/>
    <w:rsid w:val="0035438D"/>
    <w:rsid w:val="00361A1D"/>
    <w:rsid w:val="003636F1"/>
    <w:rsid w:val="00364587"/>
    <w:rsid w:val="003652B5"/>
    <w:rsid w:val="003654C4"/>
    <w:rsid w:val="0037228E"/>
    <w:rsid w:val="003732C9"/>
    <w:rsid w:val="00373E6A"/>
    <w:rsid w:val="00374931"/>
    <w:rsid w:val="00375565"/>
    <w:rsid w:val="00377A97"/>
    <w:rsid w:val="0038090C"/>
    <w:rsid w:val="00380CDC"/>
    <w:rsid w:val="003817FE"/>
    <w:rsid w:val="00384ADF"/>
    <w:rsid w:val="00384EDD"/>
    <w:rsid w:val="00385448"/>
    <w:rsid w:val="00386F75"/>
    <w:rsid w:val="00390AB9"/>
    <w:rsid w:val="00390CF0"/>
    <w:rsid w:val="00394780"/>
    <w:rsid w:val="00395B75"/>
    <w:rsid w:val="0039633C"/>
    <w:rsid w:val="00396EA7"/>
    <w:rsid w:val="003A2ADF"/>
    <w:rsid w:val="003A2CB6"/>
    <w:rsid w:val="003A4CFE"/>
    <w:rsid w:val="003A52CF"/>
    <w:rsid w:val="003A5A5E"/>
    <w:rsid w:val="003A5C93"/>
    <w:rsid w:val="003A6EE5"/>
    <w:rsid w:val="003A7997"/>
    <w:rsid w:val="003B14D5"/>
    <w:rsid w:val="003B37C2"/>
    <w:rsid w:val="003B6765"/>
    <w:rsid w:val="003B77EB"/>
    <w:rsid w:val="003C42A6"/>
    <w:rsid w:val="003C5B37"/>
    <w:rsid w:val="003D2437"/>
    <w:rsid w:val="003D5E75"/>
    <w:rsid w:val="003D6430"/>
    <w:rsid w:val="003D6AFD"/>
    <w:rsid w:val="003E073A"/>
    <w:rsid w:val="003E7C72"/>
    <w:rsid w:val="003F03E8"/>
    <w:rsid w:val="003F4F24"/>
    <w:rsid w:val="003F7A93"/>
    <w:rsid w:val="00402537"/>
    <w:rsid w:val="00404009"/>
    <w:rsid w:val="00405E40"/>
    <w:rsid w:val="00410433"/>
    <w:rsid w:val="00410A14"/>
    <w:rsid w:val="00415081"/>
    <w:rsid w:val="004157E3"/>
    <w:rsid w:val="00417A5D"/>
    <w:rsid w:val="004206FB"/>
    <w:rsid w:val="00420B50"/>
    <w:rsid w:val="00422943"/>
    <w:rsid w:val="00426039"/>
    <w:rsid w:val="00426108"/>
    <w:rsid w:val="004275C7"/>
    <w:rsid w:val="00431540"/>
    <w:rsid w:val="004316C5"/>
    <w:rsid w:val="00432690"/>
    <w:rsid w:val="0043294B"/>
    <w:rsid w:val="00432CC8"/>
    <w:rsid w:val="00437531"/>
    <w:rsid w:val="0043753E"/>
    <w:rsid w:val="00437860"/>
    <w:rsid w:val="004422DA"/>
    <w:rsid w:val="00444DED"/>
    <w:rsid w:val="00446C1D"/>
    <w:rsid w:val="00447AE9"/>
    <w:rsid w:val="004529BF"/>
    <w:rsid w:val="00452FBB"/>
    <w:rsid w:val="0046788B"/>
    <w:rsid w:val="00471945"/>
    <w:rsid w:val="00473C49"/>
    <w:rsid w:val="00473DF4"/>
    <w:rsid w:val="00480080"/>
    <w:rsid w:val="004805C8"/>
    <w:rsid w:val="00481DA1"/>
    <w:rsid w:val="00482553"/>
    <w:rsid w:val="00483BB0"/>
    <w:rsid w:val="004857BF"/>
    <w:rsid w:val="004863B4"/>
    <w:rsid w:val="00487D2C"/>
    <w:rsid w:val="0049275F"/>
    <w:rsid w:val="00493E0C"/>
    <w:rsid w:val="00494AA7"/>
    <w:rsid w:val="004975E9"/>
    <w:rsid w:val="004A271E"/>
    <w:rsid w:val="004A29CE"/>
    <w:rsid w:val="004A6C8E"/>
    <w:rsid w:val="004A6D0B"/>
    <w:rsid w:val="004B0120"/>
    <w:rsid w:val="004B5206"/>
    <w:rsid w:val="004B59D8"/>
    <w:rsid w:val="004B5F82"/>
    <w:rsid w:val="004C28FF"/>
    <w:rsid w:val="004C48FA"/>
    <w:rsid w:val="004C4ED6"/>
    <w:rsid w:val="004C678C"/>
    <w:rsid w:val="004D0014"/>
    <w:rsid w:val="004D1753"/>
    <w:rsid w:val="004D46D6"/>
    <w:rsid w:val="004D47E6"/>
    <w:rsid w:val="004D7405"/>
    <w:rsid w:val="004E0619"/>
    <w:rsid w:val="004E0E5B"/>
    <w:rsid w:val="004E1249"/>
    <w:rsid w:val="004E1D21"/>
    <w:rsid w:val="004E2E75"/>
    <w:rsid w:val="004E3481"/>
    <w:rsid w:val="004E38F6"/>
    <w:rsid w:val="004E3992"/>
    <w:rsid w:val="004E499F"/>
    <w:rsid w:val="004E6AAB"/>
    <w:rsid w:val="004F0EE4"/>
    <w:rsid w:val="004F168A"/>
    <w:rsid w:val="004F46B2"/>
    <w:rsid w:val="004F54FF"/>
    <w:rsid w:val="00501806"/>
    <w:rsid w:val="005059C3"/>
    <w:rsid w:val="0050670C"/>
    <w:rsid w:val="00507F9D"/>
    <w:rsid w:val="005103D3"/>
    <w:rsid w:val="00512F47"/>
    <w:rsid w:val="00513630"/>
    <w:rsid w:val="00513BEA"/>
    <w:rsid w:val="00514246"/>
    <w:rsid w:val="0051790B"/>
    <w:rsid w:val="00520FC7"/>
    <w:rsid w:val="00521A9F"/>
    <w:rsid w:val="00521AE8"/>
    <w:rsid w:val="00523AA2"/>
    <w:rsid w:val="00523F76"/>
    <w:rsid w:val="00525C9E"/>
    <w:rsid w:val="00530059"/>
    <w:rsid w:val="005314A0"/>
    <w:rsid w:val="00533340"/>
    <w:rsid w:val="00535527"/>
    <w:rsid w:val="005365F1"/>
    <w:rsid w:val="005404F3"/>
    <w:rsid w:val="00541273"/>
    <w:rsid w:val="00544FEC"/>
    <w:rsid w:val="00545522"/>
    <w:rsid w:val="00545985"/>
    <w:rsid w:val="00551FD6"/>
    <w:rsid w:val="00554100"/>
    <w:rsid w:val="005547B3"/>
    <w:rsid w:val="00563630"/>
    <w:rsid w:val="005654AF"/>
    <w:rsid w:val="00565C13"/>
    <w:rsid w:val="00566409"/>
    <w:rsid w:val="00567852"/>
    <w:rsid w:val="005718D7"/>
    <w:rsid w:val="00572C59"/>
    <w:rsid w:val="00574CC1"/>
    <w:rsid w:val="0057792C"/>
    <w:rsid w:val="00580901"/>
    <w:rsid w:val="00580F95"/>
    <w:rsid w:val="00582515"/>
    <w:rsid w:val="005830B7"/>
    <w:rsid w:val="00585816"/>
    <w:rsid w:val="005868E6"/>
    <w:rsid w:val="0058715B"/>
    <w:rsid w:val="00592C6E"/>
    <w:rsid w:val="00594073"/>
    <w:rsid w:val="00596281"/>
    <w:rsid w:val="005971AF"/>
    <w:rsid w:val="005974A7"/>
    <w:rsid w:val="005A0883"/>
    <w:rsid w:val="005A0E1B"/>
    <w:rsid w:val="005A16B6"/>
    <w:rsid w:val="005A16F7"/>
    <w:rsid w:val="005A2307"/>
    <w:rsid w:val="005A3209"/>
    <w:rsid w:val="005A3AC9"/>
    <w:rsid w:val="005A4406"/>
    <w:rsid w:val="005A66CF"/>
    <w:rsid w:val="005B068C"/>
    <w:rsid w:val="005B09EE"/>
    <w:rsid w:val="005B1D03"/>
    <w:rsid w:val="005B3978"/>
    <w:rsid w:val="005C41FA"/>
    <w:rsid w:val="005C4CCE"/>
    <w:rsid w:val="005C50A1"/>
    <w:rsid w:val="005D5B6E"/>
    <w:rsid w:val="005D648C"/>
    <w:rsid w:val="005D7B03"/>
    <w:rsid w:val="005E0D73"/>
    <w:rsid w:val="005E22CB"/>
    <w:rsid w:val="005E7D3E"/>
    <w:rsid w:val="005F0D44"/>
    <w:rsid w:val="005F786A"/>
    <w:rsid w:val="0060175C"/>
    <w:rsid w:val="0060287B"/>
    <w:rsid w:val="00603FC9"/>
    <w:rsid w:val="00605565"/>
    <w:rsid w:val="006055F2"/>
    <w:rsid w:val="00605738"/>
    <w:rsid w:val="00611874"/>
    <w:rsid w:val="00612377"/>
    <w:rsid w:val="00615513"/>
    <w:rsid w:val="0062437A"/>
    <w:rsid w:val="006248DA"/>
    <w:rsid w:val="00625C31"/>
    <w:rsid w:val="0062700A"/>
    <w:rsid w:val="006273EA"/>
    <w:rsid w:val="00630C34"/>
    <w:rsid w:val="00632704"/>
    <w:rsid w:val="006335EA"/>
    <w:rsid w:val="00640702"/>
    <w:rsid w:val="006420EB"/>
    <w:rsid w:val="00644113"/>
    <w:rsid w:val="00657EB7"/>
    <w:rsid w:val="006604F1"/>
    <w:rsid w:val="00662309"/>
    <w:rsid w:val="00663975"/>
    <w:rsid w:val="00664FBE"/>
    <w:rsid w:val="006668F8"/>
    <w:rsid w:val="00666B8F"/>
    <w:rsid w:val="00666D85"/>
    <w:rsid w:val="0067331F"/>
    <w:rsid w:val="006737B4"/>
    <w:rsid w:val="00674416"/>
    <w:rsid w:val="00675131"/>
    <w:rsid w:val="00675CB7"/>
    <w:rsid w:val="006764E1"/>
    <w:rsid w:val="00682656"/>
    <w:rsid w:val="00683C7C"/>
    <w:rsid w:val="00685450"/>
    <w:rsid w:val="00690F44"/>
    <w:rsid w:val="00693AA9"/>
    <w:rsid w:val="00693C14"/>
    <w:rsid w:val="00694085"/>
    <w:rsid w:val="0069791A"/>
    <w:rsid w:val="00697FC3"/>
    <w:rsid w:val="006A3E71"/>
    <w:rsid w:val="006A52A0"/>
    <w:rsid w:val="006B510B"/>
    <w:rsid w:val="006B5895"/>
    <w:rsid w:val="006B64DD"/>
    <w:rsid w:val="006C011D"/>
    <w:rsid w:val="006C030E"/>
    <w:rsid w:val="006C1180"/>
    <w:rsid w:val="006C38B2"/>
    <w:rsid w:val="006C4BA6"/>
    <w:rsid w:val="006C635A"/>
    <w:rsid w:val="006D0200"/>
    <w:rsid w:val="006D0D5B"/>
    <w:rsid w:val="006D2270"/>
    <w:rsid w:val="006D2F6A"/>
    <w:rsid w:val="006D7193"/>
    <w:rsid w:val="006E11FE"/>
    <w:rsid w:val="006E16E4"/>
    <w:rsid w:val="006E5CB9"/>
    <w:rsid w:val="006E6129"/>
    <w:rsid w:val="006E7390"/>
    <w:rsid w:val="006E7658"/>
    <w:rsid w:val="006F2B5B"/>
    <w:rsid w:val="006F357F"/>
    <w:rsid w:val="006F3B46"/>
    <w:rsid w:val="006F3F92"/>
    <w:rsid w:val="006F40B8"/>
    <w:rsid w:val="006F43AA"/>
    <w:rsid w:val="006F4D55"/>
    <w:rsid w:val="006F68F4"/>
    <w:rsid w:val="006F716D"/>
    <w:rsid w:val="006F71AD"/>
    <w:rsid w:val="00702171"/>
    <w:rsid w:val="00710EF4"/>
    <w:rsid w:val="00713553"/>
    <w:rsid w:val="00714475"/>
    <w:rsid w:val="00717DED"/>
    <w:rsid w:val="00722CC9"/>
    <w:rsid w:val="007233B9"/>
    <w:rsid w:val="007251A2"/>
    <w:rsid w:val="00730405"/>
    <w:rsid w:val="00731B59"/>
    <w:rsid w:val="007336C7"/>
    <w:rsid w:val="00733816"/>
    <w:rsid w:val="00735D89"/>
    <w:rsid w:val="007376A7"/>
    <w:rsid w:val="007416A4"/>
    <w:rsid w:val="0074248B"/>
    <w:rsid w:val="0074276A"/>
    <w:rsid w:val="00745BDC"/>
    <w:rsid w:val="00746533"/>
    <w:rsid w:val="00750512"/>
    <w:rsid w:val="00750815"/>
    <w:rsid w:val="00751AA7"/>
    <w:rsid w:val="00754C6F"/>
    <w:rsid w:val="00754FA4"/>
    <w:rsid w:val="0075541E"/>
    <w:rsid w:val="00761DDF"/>
    <w:rsid w:val="00762A2F"/>
    <w:rsid w:val="00763543"/>
    <w:rsid w:val="00763DDE"/>
    <w:rsid w:val="007644DB"/>
    <w:rsid w:val="0077154C"/>
    <w:rsid w:val="00776888"/>
    <w:rsid w:val="00776BBE"/>
    <w:rsid w:val="00777810"/>
    <w:rsid w:val="00777925"/>
    <w:rsid w:val="00783136"/>
    <w:rsid w:val="00783611"/>
    <w:rsid w:val="0078367E"/>
    <w:rsid w:val="00784242"/>
    <w:rsid w:val="00784961"/>
    <w:rsid w:val="0078591D"/>
    <w:rsid w:val="00785A15"/>
    <w:rsid w:val="00786228"/>
    <w:rsid w:val="007866FE"/>
    <w:rsid w:val="007872AF"/>
    <w:rsid w:val="00792204"/>
    <w:rsid w:val="00795487"/>
    <w:rsid w:val="00796C6F"/>
    <w:rsid w:val="00797309"/>
    <w:rsid w:val="0079739C"/>
    <w:rsid w:val="007A1A79"/>
    <w:rsid w:val="007A5881"/>
    <w:rsid w:val="007A60CB"/>
    <w:rsid w:val="007B0E75"/>
    <w:rsid w:val="007B193D"/>
    <w:rsid w:val="007B2B53"/>
    <w:rsid w:val="007B35C9"/>
    <w:rsid w:val="007B53EA"/>
    <w:rsid w:val="007B5C83"/>
    <w:rsid w:val="007C19B5"/>
    <w:rsid w:val="007C2E5D"/>
    <w:rsid w:val="007D049B"/>
    <w:rsid w:val="007D1F81"/>
    <w:rsid w:val="007D3012"/>
    <w:rsid w:val="007D4FCB"/>
    <w:rsid w:val="007D7DFC"/>
    <w:rsid w:val="007E69A0"/>
    <w:rsid w:val="007E76C2"/>
    <w:rsid w:val="007E796B"/>
    <w:rsid w:val="007F0C5F"/>
    <w:rsid w:val="007F23EE"/>
    <w:rsid w:val="00800F87"/>
    <w:rsid w:val="00810C79"/>
    <w:rsid w:val="00813CC0"/>
    <w:rsid w:val="00815CC2"/>
    <w:rsid w:val="0081648A"/>
    <w:rsid w:val="00821215"/>
    <w:rsid w:val="00821282"/>
    <w:rsid w:val="00821DD2"/>
    <w:rsid w:val="00824A9B"/>
    <w:rsid w:val="008252FB"/>
    <w:rsid w:val="008258BC"/>
    <w:rsid w:val="00830794"/>
    <w:rsid w:val="00830CEE"/>
    <w:rsid w:val="00831078"/>
    <w:rsid w:val="008313E6"/>
    <w:rsid w:val="00831983"/>
    <w:rsid w:val="008328EC"/>
    <w:rsid w:val="0083330A"/>
    <w:rsid w:val="0083460E"/>
    <w:rsid w:val="00834727"/>
    <w:rsid w:val="00834DD0"/>
    <w:rsid w:val="0083647F"/>
    <w:rsid w:val="00836D34"/>
    <w:rsid w:val="00841C20"/>
    <w:rsid w:val="008427DB"/>
    <w:rsid w:val="00843BEF"/>
    <w:rsid w:val="00843D26"/>
    <w:rsid w:val="00844C19"/>
    <w:rsid w:val="00847C9E"/>
    <w:rsid w:val="0085148B"/>
    <w:rsid w:val="008550D9"/>
    <w:rsid w:val="0085595E"/>
    <w:rsid w:val="00861F2E"/>
    <w:rsid w:val="00863C69"/>
    <w:rsid w:val="00864712"/>
    <w:rsid w:val="008702E4"/>
    <w:rsid w:val="00871CA8"/>
    <w:rsid w:val="00873756"/>
    <w:rsid w:val="008755D5"/>
    <w:rsid w:val="00875880"/>
    <w:rsid w:val="00877261"/>
    <w:rsid w:val="0087782D"/>
    <w:rsid w:val="00880EF9"/>
    <w:rsid w:val="00883B47"/>
    <w:rsid w:val="00884095"/>
    <w:rsid w:val="008864B3"/>
    <w:rsid w:val="00887627"/>
    <w:rsid w:val="0089415D"/>
    <w:rsid w:val="008A02E8"/>
    <w:rsid w:val="008A0B23"/>
    <w:rsid w:val="008A0EAC"/>
    <w:rsid w:val="008A3A96"/>
    <w:rsid w:val="008A5997"/>
    <w:rsid w:val="008A5A32"/>
    <w:rsid w:val="008A6893"/>
    <w:rsid w:val="008B5CD3"/>
    <w:rsid w:val="008B6221"/>
    <w:rsid w:val="008C04D5"/>
    <w:rsid w:val="008C2242"/>
    <w:rsid w:val="008C70F6"/>
    <w:rsid w:val="008C79F0"/>
    <w:rsid w:val="008C7C64"/>
    <w:rsid w:val="008D2E80"/>
    <w:rsid w:val="008E1CD6"/>
    <w:rsid w:val="008E1D98"/>
    <w:rsid w:val="008E2074"/>
    <w:rsid w:val="008E3DB9"/>
    <w:rsid w:val="008E3F7C"/>
    <w:rsid w:val="008E6598"/>
    <w:rsid w:val="008E6B6D"/>
    <w:rsid w:val="008E72CF"/>
    <w:rsid w:val="008E76AC"/>
    <w:rsid w:val="008E7D2E"/>
    <w:rsid w:val="008F2EF1"/>
    <w:rsid w:val="008F5CD3"/>
    <w:rsid w:val="009004DE"/>
    <w:rsid w:val="00900917"/>
    <w:rsid w:val="00907DEB"/>
    <w:rsid w:val="009123A2"/>
    <w:rsid w:val="009128AD"/>
    <w:rsid w:val="00914FB3"/>
    <w:rsid w:val="0091662C"/>
    <w:rsid w:val="00920AE2"/>
    <w:rsid w:val="0092184C"/>
    <w:rsid w:val="00924667"/>
    <w:rsid w:val="00925BED"/>
    <w:rsid w:val="00925E41"/>
    <w:rsid w:val="00925FCF"/>
    <w:rsid w:val="00926F56"/>
    <w:rsid w:val="009325DB"/>
    <w:rsid w:val="00933FB1"/>
    <w:rsid w:val="009359E6"/>
    <w:rsid w:val="00935D0E"/>
    <w:rsid w:val="009405CC"/>
    <w:rsid w:val="00940F1A"/>
    <w:rsid w:val="00946458"/>
    <w:rsid w:val="00947431"/>
    <w:rsid w:val="00947A2D"/>
    <w:rsid w:val="00953CC4"/>
    <w:rsid w:val="00957C00"/>
    <w:rsid w:val="009613B1"/>
    <w:rsid w:val="009651D6"/>
    <w:rsid w:val="00966FB3"/>
    <w:rsid w:val="00972E99"/>
    <w:rsid w:val="00977D95"/>
    <w:rsid w:val="009816C3"/>
    <w:rsid w:val="0098389F"/>
    <w:rsid w:val="009862FB"/>
    <w:rsid w:val="0099161B"/>
    <w:rsid w:val="009918AA"/>
    <w:rsid w:val="00992B36"/>
    <w:rsid w:val="009957AE"/>
    <w:rsid w:val="009A0270"/>
    <w:rsid w:val="009A0EB2"/>
    <w:rsid w:val="009A1645"/>
    <w:rsid w:val="009A36E0"/>
    <w:rsid w:val="009A7390"/>
    <w:rsid w:val="009B0493"/>
    <w:rsid w:val="009B0814"/>
    <w:rsid w:val="009C2F8B"/>
    <w:rsid w:val="009C6023"/>
    <w:rsid w:val="009C7EBA"/>
    <w:rsid w:val="009D4870"/>
    <w:rsid w:val="009D6AF8"/>
    <w:rsid w:val="009D6DB5"/>
    <w:rsid w:val="009D7517"/>
    <w:rsid w:val="009E37A7"/>
    <w:rsid w:val="009E45FB"/>
    <w:rsid w:val="009E4BE9"/>
    <w:rsid w:val="009E5B69"/>
    <w:rsid w:val="009E64EF"/>
    <w:rsid w:val="009E66F8"/>
    <w:rsid w:val="009F157A"/>
    <w:rsid w:val="009F19F4"/>
    <w:rsid w:val="009F2C4A"/>
    <w:rsid w:val="009F353D"/>
    <w:rsid w:val="009F5943"/>
    <w:rsid w:val="00A00A7E"/>
    <w:rsid w:val="00A00D8C"/>
    <w:rsid w:val="00A03CA7"/>
    <w:rsid w:val="00A05DA8"/>
    <w:rsid w:val="00A06A6C"/>
    <w:rsid w:val="00A07ADA"/>
    <w:rsid w:val="00A12DB6"/>
    <w:rsid w:val="00A13FBF"/>
    <w:rsid w:val="00A14B32"/>
    <w:rsid w:val="00A16EA2"/>
    <w:rsid w:val="00A17A14"/>
    <w:rsid w:val="00A2086A"/>
    <w:rsid w:val="00A213DC"/>
    <w:rsid w:val="00A2174A"/>
    <w:rsid w:val="00A23E11"/>
    <w:rsid w:val="00A247C5"/>
    <w:rsid w:val="00A27D45"/>
    <w:rsid w:val="00A32680"/>
    <w:rsid w:val="00A345AF"/>
    <w:rsid w:val="00A40805"/>
    <w:rsid w:val="00A42F48"/>
    <w:rsid w:val="00A43756"/>
    <w:rsid w:val="00A46B73"/>
    <w:rsid w:val="00A470D9"/>
    <w:rsid w:val="00A50742"/>
    <w:rsid w:val="00A50AE7"/>
    <w:rsid w:val="00A51437"/>
    <w:rsid w:val="00A51C53"/>
    <w:rsid w:val="00A52C14"/>
    <w:rsid w:val="00A52EF2"/>
    <w:rsid w:val="00A5309F"/>
    <w:rsid w:val="00A53ADF"/>
    <w:rsid w:val="00A549F8"/>
    <w:rsid w:val="00A54C3C"/>
    <w:rsid w:val="00A55338"/>
    <w:rsid w:val="00A5549D"/>
    <w:rsid w:val="00A558D7"/>
    <w:rsid w:val="00A55B3C"/>
    <w:rsid w:val="00A566BB"/>
    <w:rsid w:val="00A57E6E"/>
    <w:rsid w:val="00A628C5"/>
    <w:rsid w:val="00A62ED8"/>
    <w:rsid w:val="00A64C7F"/>
    <w:rsid w:val="00A668D3"/>
    <w:rsid w:val="00A716A7"/>
    <w:rsid w:val="00A83756"/>
    <w:rsid w:val="00A84A25"/>
    <w:rsid w:val="00A84E40"/>
    <w:rsid w:val="00A87F30"/>
    <w:rsid w:val="00A90663"/>
    <w:rsid w:val="00A92E30"/>
    <w:rsid w:val="00A934E0"/>
    <w:rsid w:val="00A9534B"/>
    <w:rsid w:val="00AA2855"/>
    <w:rsid w:val="00AA3333"/>
    <w:rsid w:val="00AA4835"/>
    <w:rsid w:val="00AA4F12"/>
    <w:rsid w:val="00AA51E4"/>
    <w:rsid w:val="00AB136B"/>
    <w:rsid w:val="00AB1628"/>
    <w:rsid w:val="00AB1894"/>
    <w:rsid w:val="00AB5BC1"/>
    <w:rsid w:val="00AB63C7"/>
    <w:rsid w:val="00AB7946"/>
    <w:rsid w:val="00AC2B03"/>
    <w:rsid w:val="00AC3D80"/>
    <w:rsid w:val="00AC436C"/>
    <w:rsid w:val="00AC53C5"/>
    <w:rsid w:val="00AC6057"/>
    <w:rsid w:val="00AC6A76"/>
    <w:rsid w:val="00AD1EB8"/>
    <w:rsid w:val="00AD7687"/>
    <w:rsid w:val="00AD7A34"/>
    <w:rsid w:val="00AE02FB"/>
    <w:rsid w:val="00AE07C5"/>
    <w:rsid w:val="00AE1375"/>
    <w:rsid w:val="00AE560C"/>
    <w:rsid w:val="00AE605A"/>
    <w:rsid w:val="00AE642B"/>
    <w:rsid w:val="00AF073D"/>
    <w:rsid w:val="00AF3CAE"/>
    <w:rsid w:val="00AF59C7"/>
    <w:rsid w:val="00B035A6"/>
    <w:rsid w:val="00B03B7A"/>
    <w:rsid w:val="00B04B79"/>
    <w:rsid w:val="00B0525B"/>
    <w:rsid w:val="00B05746"/>
    <w:rsid w:val="00B05F9D"/>
    <w:rsid w:val="00B067B4"/>
    <w:rsid w:val="00B0740D"/>
    <w:rsid w:val="00B1072C"/>
    <w:rsid w:val="00B10D44"/>
    <w:rsid w:val="00B11737"/>
    <w:rsid w:val="00B129D3"/>
    <w:rsid w:val="00B138A4"/>
    <w:rsid w:val="00B13BCF"/>
    <w:rsid w:val="00B150FE"/>
    <w:rsid w:val="00B1784D"/>
    <w:rsid w:val="00B252EE"/>
    <w:rsid w:val="00B2692F"/>
    <w:rsid w:val="00B26965"/>
    <w:rsid w:val="00B32280"/>
    <w:rsid w:val="00B34EDD"/>
    <w:rsid w:val="00B36BB5"/>
    <w:rsid w:val="00B4021D"/>
    <w:rsid w:val="00B426B0"/>
    <w:rsid w:val="00B436DA"/>
    <w:rsid w:val="00B47B83"/>
    <w:rsid w:val="00B52049"/>
    <w:rsid w:val="00B520F4"/>
    <w:rsid w:val="00B5333E"/>
    <w:rsid w:val="00B53597"/>
    <w:rsid w:val="00B55472"/>
    <w:rsid w:val="00B57429"/>
    <w:rsid w:val="00B60557"/>
    <w:rsid w:val="00B6117E"/>
    <w:rsid w:val="00B6184F"/>
    <w:rsid w:val="00B663D1"/>
    <w:rsid w:val="00B66CF5"/>
    <w:rsid w:val="00B67216"/>
    <w:rsid w:val="00B72227"/>
    <w:rsid w:val="00B73A75"/>
    <w:rsid w:val="00B75D10"/>
    <w:rsid w:val="00B75D9B"/>
    <w:rsid w:val="00B7602A"/>
    <w:rsid w:val="00B76D79"/>
    <w:rsid w:val="00B77740"/>
    <w:rsid w:val="00B80607"/>
    <w:rsid w:val="00B8797D"/>
    <w:rsid w:val="00B90C8E"/>
    <w:rsid w:val="00B9212A"/>
    <w:rsid w:val="00B922CC"/>
    <w:rsid w:val="00B950E7"/>
    <w:rsid w:val="00B95EEA"/>
    <w:rsid w:val="00BA21EA"/>
    <w:rsid w:val="00BB0FE0"/>
    <w:rsid w:val="00BB1E96"/>
    <w:rsid w:val="00BB73B9"/>
    <w:rsid w:val="00BC01F5"/>
    <w:rsid w:val="00BC2B95"/>
    <w:rsid w:val="00BC4B67"/>
    <w:rsid w:val="00BC6263"/>
    <w:rsid w:val="00BC6A5A"/>
    <w:rsid w:val="00BC7540"/>
    <w:rsid w:val="00BC79E7"/>
    <w:rsid w:val="00BC7BB7"/>
    <w:rsid w:val="00BD05D7"/>
    <w:rsid w:val="00BD0F50"/>
    <w:rsid w:val="00BD1647"/>
    <w:rsid w:val="00BD3F95"/>
    <w:rsid w:val="00BD4D9E"/>
    <w:rsid w:val="00BD5049"/>
    <w:rsid w:val="00BE152A"/>
    <w:rsid w:val="00BE163E"/>
    <w:rsid w:val="00BE3DAE"/>
    <w:rsid w:val="00BE5A7B"/>
    <w:rsid w:val="00BE619E"/>
    <w:rsid w:val="00BF6D18"/>
    <w:rsid w:val="00C002E3"/>
    <w:rsid w:val="00C01712"/>
    <w:rsid w:val="00C05AFB"/>
    <w:rsid w:val="00C070EA"/>
    <w:rsid w:val="00C10C3C"/>
    <w:rsid w:val="00C1190A"/>
    <w:rsid w:val="00C1447B"/>
    <w:rsid w:val="00C144A6"/>
    <w:rsid w:val="00C15E3F"/>
    <w:rsid w:val="00C17668"/>
    <w:rsid w:val="00C17E44"/>
    <w:rsid w:val="00C26491"/>
    <w:rsid w:val="00C26B1E"/>
    <w:rsid w:val="00C312C7"/>
    <w:rsid w:val="00C3284B"/>
    <w:rsid w:val="00C3409B"/>
    <w:rsid w:val="00C3728E"/>
    <w:rsid w:val="00C37FEC"/>
    <w:rsid w:val="00C41047"/>
    <w:rsid w:val="00C430CE"/>
    <w:rsid w:val="00C50227"/>
    <w:rsid w:val="00C53736"/>
    <w:rsid w:val="00C5439D"/>
    <w:rsid w:val="00C63F66"/>
    <w:rsid w:val="00C643CC"/>
    <w:rsid w:val="00C65297"/>
    <w:rsid w:val="00C6721A"/>
    <w:rsid w:val="00C672C2"/>
    <w:rsid w:val="00C71D9B"/>
    <w:rsid w:val="00C72E29"/>
    <w:rsid w:val="00C746EA"/>
    <w:rsid w:val="00C74A46"/>
    <w:rsid w:val="00C75E2A"/>
    <w:rsid w:val="00C7756D"/>
    <w:rsid w:val="00C80347"/>
    <w:rsid w:val="00C80427"/>
    <w:rsid w:val="00C826FD"/>
    <w:rsid w:val="00C83823"/>
    <w:rsid w:val="00C83A73"/>
    <w:rsid w:val="00C87E6E"/>
    <w:rsid w:val="00C9099E"/>
    <w:rsid w:val="00C90B04"/>
    <w:rsid w:val="00C9238A"/>
    <w:rsid w:val="00C92569"/>
    <w:rsid w:val="00C9497D"/>
    <w:rsid w:val="00C95CD5"/>
    <w:rsid w:val="00C97704"/>
    <w:rsid w:val="00C97A15"/>
    <w:rsid w:val="00C97A89"/>
    <w:rsid w:val="00CA154B"/>
    <w:rsid w:val="00CA15CF"/>
    <w:rsid w:val="00CA1BCF"/>
    <w:rsid w:val="00CA39C6"/>
    <w:rsid w:val="00CA3DCE"/>
    <w:rsid w:val="00CB012A"/>
    <w:rsid w:val="00CB0650"/>
    <w:rsid w:val="00CB4D7F"/>
    <w:rsid w:val="00CC1C0B"/>
    <w:rsid w:val="00CC56E6"/>
    <w:rsid w:val="00CC5881"/>
    <w:rsid w:val="00CC7BF5"/>
    <w:rsid w:val="00CD0C28"/>
    <w:rsid w:val="00CD1D91"/>
    <w:rsid w:val="00CD474B"/>
    <w:rsid w:val="00CD4858"/>
    <w:rsid w:val="00CD6F43"/>
    <w:rsid w:val="00CD7332"/>
    <w:rsid w:val="00CD7BDF"/>
    <w:rsid w:val="00CE45A5"/>
    <w:rsid w:val="00CE5506"/>
    <w:rsid w:val="00CE700D"/>
    <w:rsid w:val="00CE7A9F"/>
    <w:rsid w:val="00CF014C"/>
    <w:rsid w:val="00CF3AA4"/>
    <w:rsid w:val="00CF55CA"/>
    <w:rsid w:val="00CF7AC5"/>
    <w:rsid w:val="00D02B21"/>
    <w:rsid w:val="00D0582A"/>
    <w:rsid w:val="00D062D6"/>
    <w:rsid w:val="00D06ED5"/>
    <w:rsid w:val="00D077F0"/>
    <w:rsid w:val="00D110EE"/>
    <w:rsid w:val="00D13571"/>
    <w:rsid w:val="00D14FB7"/>
    <w:rsid w:val="00D161BF"/>
    <w:rsid w:val="00D161E8"/>
    <w:rsid w:val="00D20D30"/>
    <w:rsid w:val="00D246F0"/>
    <w:rsid w:val="00D26D1B"/>
    <w:rsid w:val="00D26FEB"/>
    <w:rsid w:val="00D33693"/>
    <w:rsid w:val="00D35250"/>
    <w:rsid w:val="00D418E4"/>
    <w:rsid w:val="00D42F9B"/>
    <w:rsid w:val="00D43119"/>
    <w:rsid w:val="00D45D2F"/>
    <w:rsid w:val="00D46254"/>
    <w:rsid w:val="00D47820"/>
    <w:rsid w:val="00D50115"/>
    <w:rsid w:val="00D50AE6"/>
    <w:rsid w:val="00D5277D"/>
    <w:rsid w:val="00D52822"/>
    <w:rsid w:val="00D56282"/>
    <w:rsid w:val="00D57591"/>
    <w:rsid w:val="00D631B8"/>
    <w:rsid w:val="00D6374C"/>
    <w:rsid w:val="00D63867"/>
    <w:rsid w:val="00D63AE6"/>
    <w:rsid w:val="00D63DF0"/>
    <w:rsid w:val="00D72976"/>
    <w:rsid w:val="00D72C9B"/>
    <w:rsid w:val="00D7356B"/>
    <w:rsid w:val="00D7485D"/>
    <w:rsid w:val="00D77182"/>
    <w:rsid w:val="00D77A66"/>
    <w:rsid w:val="00D826EC"/>
    <w:rsid w:val="00D8296C"/>
    <w:rsid w:val="00D855A4"/>
    <w:rsid w:val="00D85B1A"/>
    <w:rsid w:val="00D90690"/>
    <w:rsid w:val="00D9072C"/>
    <w:rsid w:val="00D90B99"/>
    <w:rsid w:val="00D91926"/>
    <w:rsid w:val="00D91B09"/>
    <w:rsid w:val="00D92AA4"/>
    <w:rsid w:val="00D93E3D"/>
    <w:rsid w:val="00D94EB1"/>
    <w:rsid w:val="00D978E0"/>
    <w:rsid w:val="00DA0BD3"/>
    <w:rsid w:val="00DA18A0"/>
    <w:rsid w:val="00DA32F5"/>
    <w:rsid w:val="00DA4D83"/>
    <w:rsid w:val="00DA5603"/>
    <w:rsid w:val="00DA7897"/>
    <w:rsid w:val="00DA7A09"/>
    <w:rsid w:val="00DB0C9B"/>
    <w:rsid w:val="00DB3B9E"/>
    <w:rsid w:val="00DC1481"/>
    <w:rsid w:val="00DC29D2"/>
    <w:rsid w:val="00DC30A5"/>
    <w:rsid w:val="00DC570A"/>
    <w:rsid w:val="00DD4EA9"/>
    <w:rsid w:val="00DD762C"/>
    <w:rsid w:val="00DE17A1"/>
    <w:rsid w:val="00DE2513"/>
    <w:rsid w:val="00DE4586"/>
    <w:rsid w:val="00DE6C97"/>
    <w:rsid w:val="00DE734F"/>
    <w:rsid w:val="00DE79A6"/>
    <w:rsid w:val="00DF5EB3"/>
    <w:rsid w:val="00DF63E7"/>
    <w:rsid w:val="00DF68C1"/>
    <w:rsid w:val="00E023ED"/>
    <w:rsid w:val="00E02651"/>
    <w:rsid w:val="00E05B26"/>
    <w:rsid w:val="00E1322D"/>
    <w:rsid w:val="00E16155"/>
    <w:rsid w:val="00E16E61"/>
    <w:rsid w:val="00E21756"/>
    <w:rsid w:val="00E21EA0"/>
    <w:rsid w:val="00E22872"/>
    <w:rsid w:val="00E230FA"/>
    <w:rsid w:val="00E23E3B"/>
    <w:rsid w:val="00E25ABB"/>
    <w:rsid w:val="00E305CA"/>
    <w:rsid w:val="00E33437"/>
    <w:rsid w:val="00E33632"/>
    <w:rsid w:val="00E33ABB"/>
    <w:rsid w:val="00E346E6"/>
    <w:rsid w:val="00E375FF"/>
    <w:rsid w:val="00E41286"/>
    <w:rsid w:val="00E41F95"/>
    <w:rsid w:val="00E46D59"/>
    <w:rsid w:val="00E47BEB"/>
    <w:rsid w:val="00E47DD1"/>
    <w:rsid w:val="00E50312"/>
    <w:rsid w:val="00E5035A"/>
    <w:rsid w:val="00E50849"/>
    <w:rsid w:val="00E50CA3"/>
    <w:rsid w:val="00E61D0C"/>
    <w:rsid w:val="00E638DE"/>
    <w:rsid w:val="00E70B62"/>
    <w:rsid w:val="00E72E9B"/>
    <w:rsid w:val="00E745D8"/>
    <w:rsid w:val="00E76A8C"/>
    <w:rsid w:val="00E800EB"/>
    <w:rsid w:val="00E82517"/>
    <w:rsid w:val="00E82B46"/>
    <w:rsid w:val="00E84EF9"/>
    <w:rsid w:val="00E932CA"/>
    <w:rsid w:val="00E94B34"/>
    <w:rsid w:val="00E9556A"/>
    <w:rsid w:val="00E957E8"/>
    <w:rsid w:val="00E96835"/>
    <w:rsid w:val="00EA3481"/>
    <w:rsid w:val="00EB2518"/>
    <w:rsid w:val="00EB3492"/>
    <w:rsid w:val="00EB39D6"/>
    <w:rsid w:val="00EB6342"/>
    <w:rsid w:val="00EB69CC"/>
    <w:rsid w:val="00EC1598"/>
    <w:rsid w:val="00EC4D9D"/>
    <w:rsid w:val="00EC503A"/>
    <w:rsid w:val="00EC7C5E"/>
    <w:rsid w:val="00ED19E2"/>
    <w:rsid w:val="00ED2432"/>
    <w:rsid w:val="00ED3888"/>
    <w:rsid w:val="00EE3A7C"/>
    <w:rsid w:val="00EE45E3"/>
    <w:rsid w:val="00EE4F70"/>
    <w:rsid w:val="00EE7979"/>
    <w:rsid w:val="00EF00E7"/>
    <w:rsid w:val="00EF174C"/>
    <w:rsid w:val="00EF19A8"/>
    <w:rsid w:val="00EF28E1"/>
    <w:rsid w:val="00EF2901"/>
    <w:rsid w:val="00EF2EA2"/>
    <w:rsid w:val="00EF46EF"/>
    <w:rsid w:val="00EF7ABB"/>
    <w:rsid w:val="00EF7E65"/>
    <w:rsid w:val="00F04A63"/>
    <w:rsid w:val="00F0648F"/>
    <w:rsid w:val="00F07222"/>
    <w:rsid w:val="00F07E02"/>
    <w:rsid w:val="00F10706"/>
    <w:rsid w:val="00F129B1"/>
    <w:rsid w:val="00F13FD6"/>
    <w:rsid w:val="00F1577E"/>
    <w:rsid w:val="00F168F0"/>
    <w:rsid w:val="00F17502"/>
    <w:rsid w:val="00F17920"/>
    <w:rsid w:val="00F2104A"/>
    <w:rsid w:val="00F2549C"/>
    <w:rsid w:val="00F27C66"/>
    <w:rsid w:val="00F305DF"/>
    <w:rsid w:val="00F31406"/>
    <w:rsid w:val="00F32FBA"/>
    <w:rsid w:val="00F3502E"/>
    <w:rsid w:val="00F363BE"/>
    <w:rsid w:val="00F36702"/>
    <w:rsid w:val="00F36B38"/>
    <w:rsid w:val="00F41A1D"/>
    <w:rsid w:val="00F4226F"/>
    <w:rsid w:val="00F44458"/>
    <w:rsid w:val="00F44B8E"/>
    <w:rsid w:val="00F47D81"/>
    <w:rsid w:val="00F52126"/>
    <w:rsid w:val="00F54E41"/>
    <w:rsid w:val="00F56806"/>
    <w:rsid w:val="00F57A4E"/>
    <w:rsid w:val="00F63911"/>
    <w:rsid w:val="00F64FB9"/>
    <w:rsid w:val="00F65BE7"/>
    <w:rsid w:val="00F66985"/>
    <w:rsid w:val="00F715C4"/>
    <w:rsid w:val="00F71E47"/>
    <w:rsid w:val="00F73165"/>
    <w:rsid w:val="00F73814"/>
    <w:rsid w:val="00F749C5"/>
    <w:rsid w:val="00F75258"/>
    <w:rsid w:val="00F7542D"/>
    <w:rsid w:val="00F81224"/>
    <w:rsid w:val="00F81DA7"/>
    <w:rsid w:val="00F84E3E"/>
    <w:rsid w:val="00F8649A"/>
    <w:rsid w:val="00F87720"/>
    <w:rsid w:val="00F91752"/>
    <w:rsid w:val="00F95769"/>
    <w:rsid w:val="00F97CA3"/>
    <w:rsid w:val="00FA3475"/>
    <w:rsid w:val="00FA6496"/>
    <w:rsid w:val="00FA6BE6"/>
    <w:rsid w:val="00FB0973"/>
    <w:rsid w:val="00FB270B"/>
    <w:rsid w:val="00FB336A"/>
    <w:rsid w:val="00FB3872"/>
    <w:rsid w:val="00FB4DDA"/>
    <w:rsid w:val="00FB728D"/>
    <w:rsid w:val="00FB7B7A"/>
    <w:rsid w:val="00FC14F6"/>
    <w:rsid w:val="00FC1FAB"/>
    <w:rsid w:val="00FC2021"/>
    <w:rsid w:val="00FC3BBB"/>
    <w:rsid w:val="00FC5071"/>
    <w:rsid w:val="00FC5CF5"/>
    <w:rsid w:val="00FC5D73"/>
    <w:rsid w:val="00FC7278"/>
    <w:rsid w:val="00FC74DB"/>
    <w:rsid w:val="00FC75FD"/>
    <w:rsid w:val="00FC77D0"/>
    <w:rsid w:val="00FD4545"/>
    <w:rsid w:val="00FD58BF"/>
    <w:rsid w:val="00FD6BB7"/>
    <w:rsid w:val="00FD7E1E"/>
    <w:rsid w:val="00FE176E"/>
    <w:rsid w:val="00FE21FB"/>
    <w:rsid w:val="00FE46AB"/>
    <w:rsid w:val="00FE46EF"/>
    <w:rsid w:val="00FE4915"/>
    <w:rsid w:val="00FE4E2A"/>
    <w:rsid w:val="00FE6CD6"/>
    <w:rsid w:val="00FF05FD"/>
    <w:rsid w:val="00FF448D"/>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3A8E4"/>
  <w15:docId w15:val="{98964E2B-A275-4286-9C0E-B2C67EFC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5"/>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Odstavec_muj Char,Nad Char,_Odstavec se seznamem Char,Seznam - odrážky Char,Odstavec cíl se seznamem Char,Odstavec se seznamem5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paragraph" w:styleId="Bezmezer">
    <w:name w:val="No Spacing"/>
    <w:uiPriority w:val="1"/>
    <w:qFormat/>
    <w:rsid w:val="00192823"/>
    <w:pPr>
      <w:spacing w:after="0" w:line="240" w:lineRule="auto"/>
    </w:pPr>
    <w:rPr>
      <w:rFonts w:ascii="Calibri" w:eastAsia="Times New Roman" w:hAnsi="Calibri" w:cs="Times New Roman"/>
      <w:lang w:eastAsia="cs-CZ"/>
    </w:rPr>
  </w:style>
  <w:style w:type="paragraph" w:styleId="Zkladntextodsazen2">
    <w:name w:val="Body Text Indent 2"/>
    <w:basedOn w:val="Normln"/>
    <w:link w:val="Zkladntextodsazen2Char"/>
    <w:uiPriority w:val="99"/>
    <w:unhideWhenUsed/>
    <w:rsid w:val="008D2E8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D2E80"/>
    <w:rPr>
      <w:rFonts w:ascii="Calibri" w:eastAsia="Times New Roman" w:hAnsi="Calibri" w:cs="Calibri"/>
    </w:rPr>
  </w:style>
  <w:style w:type="paragraph" w:customStyle="1" w:styleId="OdstavecSmlouvy">
    <w:name w:val="OdstavecSmlouvy"/>
    <w:basedOn w:val="Normln"/>
    <w:rsid w:val="008D2E80"/>
    <w:pPr>
      <w:keepLines/>
      <w:tabs>
        <w:tab w:val="left" w:pos="426"/>
        <w:tab w:val="left" w:pos="1701"/>
      </w:tabs>
      <w:spacing w:after="120" w:line="240" w:lineRule="auto"/>
      <w:jc w:val="both"/>
    </w:pPr>
    <w:rPr>
      <w:rFonts w:ascii="Times New Roman" w:hAnsi="Times New Roman" w:cs="Times New Roman"/>
      <w:sz w:val="24"/>
      <w:szCs w:val="20"/>
      <w:lang w:eastAsia="cs-CZ"/>
    </w:rPr>
  </w:style>
  <w:style w:type="paragraph" w:customStyle="1" w:styleId="CharCharChar">
    <w:name w:val="Char Char Char"/>
    <w:basedOn w:val="Normln"/>
    <w:rsid w:val="008D2E80"/>
    <w:pPr>
      <w:spacing w:after="160" w:line="240" w:lineRule="exact"/>
    </w:pPr>
    <w:rPr>
      <w:rFonts w:ascii="Verdana" w:hAnsi="Verdana" w:cs="Verdana"/>
      <w:sz w:val="20"/>
      <w:szCs w:val="20"/>
      <w:lang w:val="en-US"/>
    </w:rPr>
  </w:style>
  <w:style w:type="character" w:customStyle="1" w:styleId="s31">
    <w:name w:val="s31"/>
    <w:rsid w:val="008D2E80"/>
  </w:style>
  <w:style w:type="character" w:customStyle="1" w:styleId="Nevyeenzmnka2">
    <w:name w:val="Nevyřešená zmínka2"/>
    <w:basedOn w:val="Standardnpsmoodstavce"/>
    <w:uiPriority w:val="99"/>
    <w:semiHidden/>
    <w:unhideWhenUsed/>
    <w:rsid w:val="00512F47"/>
    <w:rPr>
      <w:color w:val="605E5C"/>
      <w:shd w:val="clear" w:color="auto" w:fill="E1DFDD"/>
    </w:rPr>
  </w:style>
  <w:style w:type="character" w:styleId="Nevyeenzmnka">
    <w:name w:val="Unresolved Mention"/>
    <w:basedOn w:val="Standardnpsmoodstavce"/>
    <w:uiPriority w:val="99"/>
    <w:semiHidden/>
    <w:unhideWhenUsed/>
    <w:rsid w:val="0050670C"/>
    <w:rPr>
      <w:color w:val="605E5C"/>
      <w:shd w:val="clear" w:color="auto" w:fill="E1DFDD"/>
    </w:rPr>
  </w:style>
  <w:style w:type="paragraph" w:styleId="Pokraovnseznamu">
    <w:name w:val="List Continue"/>
    <w:basedOn w:val="Normln"/>
    <w:uiPriority w:val="99"/>
    <w:rsid w:val="00CF7AC5"/>
    <w:pPr>
      <w:spacing w:after="120" w:line="240" w:lineRule="auto"/>
      <w:ind w:left="283"/>
    </w:pPr>
    <w:rPr>
      <w:rFonts w:ascii="Times New Roman" w:hAnsi="Times New Roman" w:cs="Times New Roman"/>
      <w:sz w:val="24"/>
      <w:szCs w:val="24"/>
      <w:lang w:eastAsia="cs-CZ"/>
    </w:rPr>
  </w:style>
  <w:style w:type="paragraph" w:styleId="Revize">
    <w:name w:val="Revision"/>
    <w:hidden/>
    <w:uiPriority w:val="99"/>
    <w:semiHidden/>
    <w:rsid w:val="00FD6BB7"/>
    <w:pPr>
      <w:spacing w:after="0" w:line="240" w:lineRule="auto"/>
    </w:pPr>
    <w:rPr>
      <w:rFonts w:ascii="Calibri" w:eastAsia="Times New Roman" w:hAnsi="Calibri" w:cs="Calibri"/>
    </w:rPr>
  </w:style>
  <w:style w:type="character" w:styleId="Odkaznakoment">
    <w:name w:val="annotation reference"/>
    <w:basedOn w:val="Standardnpsmoodstavce"/>
    <w:uiPriority w:val="99"/>
    <w:semiHidden/>
    <w:unhideWhenUsed/>
    <w:rsid w:val="007E76C2"/>
    <w:rPr>
      <w:sz w:val="16"/>
      <w:szCs w:val="16"/>
    </w:rPr>
  </w:style>
  <w:style w:type="paragraph" w:styleId="Textkomente">
    <w:name w:val="annotation text"/>
    <w:basedOn w:val="Normln"/>
    <w:link w:val="TextkomenteChar"/>
    <w:uiPriority w:val="99"/>
    <w:unhideWhenUsed/>
    <w:rsid w:val="007E76C2"/>
    <w:pPr>
      <w:spacing w:line="240" w:lineRule="auto"/>
    </w:pPr>
    <w:rPr>
      <w:sz w:val="20"/>
      <w:szCs w:val="20"/>
    </w:rPr>
  </w:style>
  <w:style w:type="character" w:customStyle="1" w:styleId="TextkomenteChar">
    <w:name w:val="Text komentáře Char"/>
    <w:basedOn w:val="Standardnpsmoodstavce"/>
    <w:link w:val="Textkomente"/>
    <w:uiPriority w:val="99"/>
    <w:rsid w:val="007E76C2"/>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7E76C2"/>
    <w:rPr>
      <w:b/>
      <w:bCs/>
    </w:rPr>
  </w:style>
  <w:style w:type="character" w:customStyle="1" w:styleId="PedmtkomenteChar">
    <w:name w:val="Předmět komentáře Char"/>
    <w:basedOn w:val="TextkomenteChar"/>
    <w:link w:val="Pedmtkomente"/>
    <w:uiPriority w:val="99"/>
    <w:semiHidden/>
    <w:rsid w:val="007E76C2"/>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1336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nsky.jaromir@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vogal@volny.cz" TargetMode="External"/><Relationship Id="rId4" Type="http://schemas.openxmlformats.org/officeDocument/2006/relationships/settings" Target="settings.xml"/><Relationship Id="rId9" Type="http://schemas.openxmlformats.org/officeDocument/2006/relationships/hyperlink" Target="mailto:pistekova.katerina@frydekmist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ECA1-0BB4-475B-897B-082B37C6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4866</Words>
  <Characters>28716</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Simona ČECHOVÁ</cp:lastModifiedBy>
  <cp:revision>4</cp:revision>
  <cp:lastPrinted>2019-11-07T09:03:00Z</cp:lastPrinted>
  <dcterms:created xsi:type="dcterms:W3CDTF">2025-04-08T06:31:00Z</dcterms:created>
  <dcterms:modified xsi:type="dcterms:W3CDTF">2025-04-09T05:57:00Z</dcterms:modified>
</cp:coreProperties>
</file>