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51F2" w14:textId="77777777" w:rsidR="00B01B10" w:rsidRPr="00DB1169" w:rsidRDefault="00DB1169" w:rsidP="00DB1169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</w:t>
      </w:r>
      <w:r w:rsidR="00B01B10" w:rsidRPr="00DB1169">
        <w:rPr>
          <w:rFonts w:ascii="Tahoma" w:hAnsi="Tahoma" w:cs="Tahoma"/>
          <w:b/>
          <w:sz w:val="21"/>
          <w:szCs w:val="21"/>
        </w:rPr>
        <w:t>pecifikace bytových vodoměrů</w:t>
      </w:r>
    </w:p>
    <w:p w14:paraId="077AA3B5" w14:textId="77777777" w:rsidR="00B01B10" w:rsidRPr="00B01B10" w:rsidRDefault="00B01B10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Platí pro vodoměry na teplou i studenou vodu. Vodoměry musí být nové, nerepasované. </w:t>
      </w:r>
    </w:p>
    <w:p w14:paraId="06E714B9" w14:textId="77777777" w:rsidR="00B01B10" w:rsidRPr="00B01B10" w:rsidRDefault="00B01B10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Požadavky na vodoměr: </w:t>
      </w:r>
    </w:p>
    <w:p w14:paraId="6A12B8FF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Trvalý průtok Q₃ = 1,6 m3/hodina (DN15) a 4 m3/hodina (DN20) </w:t>
      </w:r>
    </w:p>
    <w:p w14:paraId="6B500CE3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Dimenze vodoměru DN 15 a DN 20 </w:t>
      </w:r>
    </w:p>
    <w:p w14:paraId="790B6323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Připojovací závit ¾ “ </w:t>
      </w:r>
      <w:r w:rsidRPr="0075497F">
        <w:rPr>
          <w:rFonts w:ascii="Tahoma" w:hAnsi="Tahoma" w:cs="Tahoma"/>
          <w:sz w:val="21"/>
          <w:szCs w:val="21"/>
        </w:rPr>
        <w:t>(DN15) a 1“ (DN20)</w:t>
      </w:r>
      <w:r w:rsidRPr="00B01B10">
        <w:rPr>
          <w:rFonts w:ascii="Tahoma" w:hAnsi="Tahoma" w:cs="Tahoma"/>
          <w:sz w:val="21"/>
          <w:szCs w:val="21"/>
        </w:rPr>
        <w:t xml:space="preserve"> </w:t>
      </w:r>
    </w:p>
    <w:p w14:paraId="44E72D86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Stavební délka 110 mm (DN15) a 130 mm (DN20) </w:t>
      </w:r>
    </w:p>
    <w:p w14:paraId="73CA5899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Poměr Q3/Q1 nejméně 80 při montáži v horizontální poloze </w:t>
      </w:r>
    </w:p>
    <w:p w14:paraId="34B5ED81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Dovolená poloha montáže vodorovná i svislá </w:t>
      </w:r>
    </w:p>
    <w:p w14:paraId="42653485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</w:t>
      </w:r>
      <w:proofErr w:type="spellStart"/>
      <w:r w:rsidRPr="00B01B10">
        <w:rPr>
          <w:rFonts w:ascii="Tahoma" w:hAnsi="Tahoma" w:cs="Tahoma"/>
          <w:sz w:val="21"/>
          <w:szCs w:val="21"/>
        </w:rPr>
        <w:t>Suchoběžná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konstrukce </w:t>
      </w:r>
    </w:p>
    <w:p w14:paraId="3F9CB72C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Kryt číselníku hermeticky utěsněn </w:t>
      </w:r>
    </w:p>
    <w:p w14:paraId="7A2BD930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Barevné rozlišení vodoměrů pro teplou a studenou vodu výrazným barevným mechanickým </w:t>
      </w:r>
    </w:p>
    <w:p w14:paraId="7F380E34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prvkem </w:t>
      </w:r>
    </w:p>
    <w:p w14:paraId="3FDC9EAC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Krytí IP65 nebo vyšší </w:t>
      </w:r>
    </w:p>
    <w:p w14:paraId="33725CAE" w14:textId="77777777" w:rsidR="00477306" w:rsidRDefault="00477306" w:rsidP="00DB1169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DC00128" w14:textId="0BFE3CE2" w:rsidR="00B01B10" w:rsidRPr="00DB1169" w:rsidRDefault="00B01B10" w:rsidP="00DB1169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DB1169">
        <w:rPr>
          <w:rFonts w:ascii="Tahoma" w:hAnsi="Tahoma" w:cs="Tahoma"/>
          <w:b/>
          <w:sz w:val="21"/>
          <w:szCs w:val="21"/>
        </w:rPr>
        <w:t>Požadavky na radiový modul vodoměru</w:t>
      </w:r>
    </w:p>
    <w:p w14:paraId="19F918C0" w14:textId="5C69A4FE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</w:t>
      </w:r>
      <w:r w:rsidR="00DC2993">
        <w:rPr>
          <w:rFonts w:ascii="Tahoma" w:hAnsi="Tahoma" w:cs="Tahoma"/>
          <w:sz w:val="21"/>
          <w:szCs w:val="21"/>
        </w:rPr>
        <w:t>Modul v</w:t>
      </w:r>
      <w:r w:rsidRPr="00B01B10">
        <w:rPr>
          <w:rFonts w:ascii="Tahoma" w:hAnsi="Tahoma" w:cs="Tahoma"/>
          <w:sz w:val="21"/>
          <w:szCs w:val="21"/>
        </w:rPr>
        <w:t>odoměr</w:t>
      </w:r>
      <w:r w:rsidR="00DC2993">
        <w:rPr>
          <w:rFonts w:ascii="Tahoma" w:hAnsi="Tahoma" w:cs="Tahoma"/>
          <w:sz w:val="21"/>
          <w:szCs w:val="21"/>
        </w:rPr>
        <w:t>u</w:t>
      </w:r>
      <w:r w:rsidRPr="00B01B10">
        <w:rPr>
          <w:rFonts w:ascii="Tahoma" w:hAnsi="Tahoma" w:cs="Tahoma"/>
          <w:sz w:val="21"/>
          <w:szCs w:val="21"/>
        </w:rPr>
        <w:t xml:space="preserve"> musí podporovat radiový vzdálený odečet hodnot </w:t>
      </w:r>
    </w:p>
    <w:p w14:paraId="04374097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Radiová část musí být realizována modulem oddělitelným od vodoměru, s možností výměny </w:t>
      </w:r>
    </w:p>
    <w:p w14:paraId="78A0BB4C" w14:textId="05238452" w:rsidR="00B01B10" w:rsidRPr="00B01B10" w:rsidRDefault="00847BF4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</w:t>
      </w:r>
      <w:r w:rsidR="00B01B10" w:rsidRPr="00B01B10">
        <w:rPr>
          <w:rFonts w:ascii="Tahoma" w:hAnsi="Tahoma" w:cs="Tahoma"/>
          <w:sz w:val="21"/>
          <w:szCs w:val="21"/>
        </w:rPr>
        <w:t xml:space="preserve">vodoměru po skončení jeho životnosti za nový, při zachování původního </w:t>
      </w:r>
      <w:proofErr w:type="spellStart"/>
      <w:r w:rsidR="00B01B10" w:rsidRPr="00B01B10">
        <w:rPr>
          <w:rFonts w:ascii="Tahoma" w:hAnsi="Tahoma" w:cs="Tahoma"/>
          <w:sz w:val="21"/>
          <w:szCs w:val="21"/>
        </w:rPr>
        <w:t>radiomodulu</w:t>
      </w:r>
      <w:proofErr w:type="spellEnd"/>
      <w:r w:rsidR="00B01B10" w:rsidRPr="00B01B10">
        <w:rPr>
          <w:rFonts w:ascii="Tahoma" w:hAnsi="Tahoma" w:cs="Tahoma"/>
          <w:sz w:val="21"/>
          <w:szCs w:val="21"/>
        </w:rPr>
        <w:t xml:space="preserve"> </w:t>
      </w:r>
    </w:p>
    <w:p w14:paraId="493E4BB1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Vysílaná data musí zahrnovat: </w:t>
      </w:r>
    </w:p>
    <w:p w14:paraId="75EAB384" w14:textId="77777777" w:rsidR="00B01B10" w:rsidRPr="00DB1169" w:rsidRDefault="00B01B10" w:rsidP="00DB116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B1169">
        <w:rPr>
          <w:rFonts w:ascii="Tahoma" w:hAnsi="Tahoma" w:cs="Tahoma"/>
          <w:sz w:val="21"/>
          <w:szCs w:val="21"/>
        </w:rPr>
        <w:t xml:space="preserve">Aktuální stav počítadla </w:t>
      </w:r>
    </w:p>
    <w:p w14:paraId="47F5D693" w14:textId="77777777" w:rsidR="00B01B10" w:rsidRPr="00DB1169" w:rsidRDefault="00B01B10" w:rsidP="00DB116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B1169">
        <w:rPr>
          <w:rFonts w:ascii="Tahoma" w:hAnsi="Tahoma" w:cs="Tahoma"/>
          <w:sz w:val="21"/>
          <w:szCs w:val="21"/>
        </w:rPr>
        <w:t xml:space="preserve">Stavy počítadla minimálně 12 měsíců nazpět </w:t>
      </w:r>
    </w:p>
    <w:p w14:paraId="3D35968D" w14:textId="77777777" w:rsidR="00B01B10" w:rsidRPr="0075497F" w:rsidRDefault="00B01B10" w:rsidP="00DB116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75497F">
        <w:rPr>
          <w:rFonts w:ascii="Tahoma" w:hAnsi="Tahoma" w:cs="Tahoma"/>
          <w:sz w:val="21"/>
          <w:szCs w:val="21"/>
        </w:rPr>
        <w:t xml:space="preserve">Hlášení v případě zaznamenaní událostí minimálně: </w:t>
      </w:r>
    </w:p>
    <w:p w14:paraId="4BDD6E32" w14:textId="77777777" w:rsidR="00B01B10" w:rsidRPr="00DB1169" w:rsidRDefault="00B01B10" w:rsidP="00E076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B1169">
        <w:rPr>
          <w:rFonts w:ascii="Tahoma" w:hAnsi="Tahoma" w:cs="Tahoma"/>
          <w:sz w:val="21"/>
          <w:szCs w:val="21"/>
        </w:rPr>
        <w:t xml:space="preserve">Působení silného vnějšího magnetického pole </w:t>
      </w:r>
    </w:p>
    <w:p w14:paraId="020BAB84" w14:textId="5FDB809C" w:rsidR="00B01B10" w:rsidRPr="00DB1169" w:rsidRDefault="00B01B10" w:rsidP="00E076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 </w:t>
      </w:r>
      <w:r w:rsidRPr="00DB1169">
        <w:rPr>
          <w:rFonts w:ascii="Tahoma" w:hAnsi="Tahoma" w:cs="Tahoma"/>
          <w:sz w:val="21"/>
          <w:szCs w:val="21"/>
        </w:rPr>
        <w:t xml:space="preserve">Zpětný tok vody vodoměrem. </w:t>
      </w:r>
    </w:p>
    <w:p w14:paraId="14BF9842" w14:textId="77777777" w:rsidR="00B01B10" w:rsidRP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Modul musí umožňovat úpravu vysílacího časového rozvrhu </w:t>
      </w:r>
    </w:p>
    <w:p w14:paraId="1540E363" w14:textId="02E1C8C0" w:rsidR="00B01B10" w:rsidRDefault="00B01B10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5601B69" w14:textId="77777777" w:rsidR="00DB1169" w:rsidRPr="00B01B10" w:rsidRDefault="00DB1169" w:rsidP="00DB116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308922B" w14:textId="77777777" w:rsidR="00B01B10" w:rsidRPr="00DB1169" w:rsidRDefault="00B01B10" w:rsidP="00DB1169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DB1169">
        <w:rPr>
          <w:rFonts w:ascii="Tahoma" w:hAnsi="Tahoma" w:cs="Tahoma"/>
          <w:b/>
          <w:sz w:val="21"/>
          <w:szCs w:val="21"/>
        </w:rPr>
        <w:t>Technická specifikace indikátorů topných nákladů</w:t>
      </w:r>
    </w:p>
    <w:p w14:paraId="6DDF0E8B" w14:textId="6426E55C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>• Indikátor topných nákladů musí odpovídat ČSN EN 834</w:t>
      </w:r>
    </w:p>
    <w:p w14:paraId="7161B025" w14:textId="4339DDDA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Dostupnost dat v průběhu roku – 365 dní </w:t>
      </w:r>
    </w:p>
    <w:p w14:paraId="25BCDF8D" w14:textId="77777777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Zobrazení údajů na displeji (minimálně): aktuální hodnota, hodnota předchozího období, </w:t>
      </w:r>
    </w:p>
    <w:p w14:paraId="59D8E436" w14:textId="77777777" w:rsidR="00B01B10" w:rsidRPr="00B01B10" w:rsidRDefault="00847BF4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</w:t>
      </w:r>
      <w:r w:rsidR="00B01B10" w:rsidRPr="00B01B10">
        <w:rPr>
          <w:rFonts w:ascii="Tahoma" w:hAnsi="Tahoma" w:cs="Tahoma"/>
          <w:sz w:val="21"/>
          <w:szCs w:val="21"/>
        </w:rPr>
        <w:t xml:space="preserve">odečtový den, chybové hlášení </w:t>
      </w:r>
    </w:p>
    <w:p w14:paraId="70B7CA19" w14:textId="77777777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Detekce pokusu o ovlivnění </w:t>
      </w:r>
    </w:p>
    <w:p w14:paraId="33D55364" w14:textId="77777777" w:rsidR="00477306" w:rsidRDefault="00477306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5D12328" w14:textId="455A49FD" w:rsidR="00B01B10" w:rsidRPr="00847BF4" w:rsidRDefault="00B01B10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847BF4">
        <w:rPr>
          <w:rFonts w:ascii="Tahoma" w:hAnsi="Tahoma" w:cs="Tahoma"/>
          <w:b/>
          <w:sz w:val="21"/>
          <w:szCs w:val="21"/>
        </w:rPr>
        <w:t>Požadavky na sběrnice</w:t>
      </w:r>
    </w:p>
    <w:p w14:paraId="23F1EB75" w14:textId="4EC24BF5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75497F">
        <w:rPr>
          <w:rFonts w:ascii="Tahoma" w:hAnsi="Tahoma" w:cs="Tahoma"/>
          <w:sz w:val="21"/>
          <w:szCs w:val="21"/>
        </w:rPr>
        <w:t>• Kompatibilní s nově instalovanými indikátory topných nákladů a bytových</w:t>
      </w:r>
      <w:r w:rsidR="00870533">
        <w:rPr>
          <w:rFonts w:ascii="Tahoma" w:hAnsi="Tahoma" w:cs="Tahoma"/>
          <w:sz w:val="21"/>
          <w:szCs w:val="21"/>
        </w:rPr>
        <w:t xml:space="preserve"> </w:t>
      </w:r>
      <w:r w:rsidRPr="0075497F">
        <w:rPr>
          <w:rFonts w:ascii="Tahoma" w:hAnsi="Tahoma" w:cs="Tahoma"/>
          <w:sz w:val="21"/>
          <w:szCs w:val="21"/>
        </w:rPr>
        <w:t>vodoměrů</w:t>
      </w:r>
      <w:r w:rsidRPr="00B01B10">
        <w:rPr>
          <w:rFonts w:ascii="Tahoma" w:hAnsi="Tahoma" w:cs="Tahoma"/>
          <w:sz w:val="21"/>
          <w:szCs w:val="21"/>
        </w:rPr>
        <w:t xml:space="preserve"> </w:t>
      </w:r>
    </w:p>
    <w:p w14:paraId="1F03EA40" w14:textId="18DFA2F9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</w:t>
      </w:r>
      <w:r w:rsidR="0075497F">
        <w:rPr>
          <w:rFonts w:ascii="Tahoma" w:hAnsi="Tahoma" w:cs="Tahoma"/>
          <w:sz w:val="21"/>
          <w:szCs w:val="21"/>
        </w:rPr>
        <w:t>B</w:t>
      </w:r>
      <w:r w:rsidR="0075497F" w:rsidRPr="003025E6">
        <w:rPr>
          <w:rFonts w:ascii="Tahoma" w:hAnsi="Tahoma" w:cs="Tahoma"/>
          <w:sz w:val="21"/>
          <w:szCs w:val="21"/>
        </w:rPr>
        <w:t>ez nutností externího napájení a připojení k internetu</w:t>
      </w:r>
    </w:p>
    <w:p w14:paraId="17655279" w14:textId="77777777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Životnost baterie alespoň 5 let, možnost výměny baterie uživatelským způsobem, bez </w:t>
      </w:r>
    </w:p>
    <w:p w14:paraId="2519BC5B" w14:textId="77777777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nutnosti dodatkové konfigurace sběrnice </w:t>
      </w:r>
    </w:p>
    <w:p w14:paraId="675BC513" w14:textId="77777777" w:rsidR="00B01B10" w:rsidRPr="00B01B10" w:rsidRDefault="00B01B10" w:rsidP="00847BF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• Přenos dat ze sběrnice na nadřízený systém prostřednictvím sítě mobilních operátorů </w:t>
      </w:r>
    </w:p>
    <w:p w14:paraId="46A457D2" w14:textId="6369348D" w:rsidR="00847BF4" w:rsidRDefault="00847BF4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611F337" w14:textId="77777777" w:rsidR="0008645F" w:rsidRDefault="0008645F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288D761" w14:textId="77777777" w:rsidR="006F34CD" w:rsidRDefault="006F34CD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EB5FB68" w14:textId="77777777" w:rsidR="006F34CD" w:rsidRDefault="006F34CD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E347142" w14:textId="77777777" w:rsidR="006F34CD" w:rsidRDefault="006F34CD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F89ABF0" w14:textId="77777777" w:rsidR="006F34CD" w:rsidRDefault="006F34CD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9C9FF0A" w14:textId="7CE9C724" w:rsidR="00B01B10" w:rsidRDefault="00B01B10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847BF4">
        <w:rPr>
          <w:rFonts w:ascii="Tahoma" w:hAnsi="Tahoma" w:cs="Tahoma"/>
          <w:b/>
          <w:sz w:val="21"/>
          <w:szCs w:val="21"/>
        </w:rPr>
        <w:lastRenderedPageBreak/>
        <w:t>Specifikace položek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307D9" w14:paraId="37C02533" w14:textId="77777777" w:rsidTr="003307D9">
        <w:tc>
          <w:tcPr>
            <w:tcW w:w="1271" w:type="dxa"/>
          </w:tcPr>
          <w:p w14:paraId="3DCCF4A7" w14:textId="77777777" w:rsidR="003307D9" w:rsidRPr="00B01B10" w:rsidRDefault="003307D9" w:rsidP="003307D9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01B10">
              <w:rPr>
                <w:rFonts w:ascii="Tahoma" w:hAnsi="Tahoma" w:cs="Tahoma"/>
                <w:sz w:val="21"/>
                <w:szCs w:val="21"/>
              </w:rPr>
              <w:t xml:space="preserve">Pořadové </w:t>
            </w:r>
          </w:p>
          <w:p w14:paraId="7AD285B4" w14:textId="77777777" w:rsidR="003307D9" w:rsidRDefault="003307D9" w:rsidP="003307D9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01B10">
              <w:rPr>
                <w:rFonts w:ascii="Tahoma" w:hAnsi="Tahoma" w:cs="Tahoma"/>
                <w:sz w:val="21"/>
                <w:szCs w:val="21"/>
              </w:rPr>
              <w:t>číslo</w:t>
            </w:r>
          </w:p>
        </w:tc>
        <w:tc>
          <w:tcPr>
            <w:tcW w:w="7791" w:type="dxa"/>
          </w:tcPr>
          <w:p w14:paraId="79603ED3" w14:textId="77777777" w:rsidR="003307D9" w:rsidRPr="00B01B10" w:rsidRDefault="003307D9" w:rsidP="003307D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1B10">
              <w:rPr>
                <w:rFonts w:ascii="Tahoma" w:hAnsi="Tahoma" w:cs="Tahoma"/>
                <w:sz w:val="21"/>
                <w:szCs w:val="21"/>
              </w:rPr>
              <w:t>Popis jednotlivých položek</w:t>
            </w:r>
          </w:p>
          <w:p w14:paraId="7C572F57" w14:textId="77777777" w:rsidR="003307D9" w:rsidRDefault="003307D9" w:rsidP="00847BF4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307D9" w14:paraId="55B6043E" w14:textId="77777777" w:rsidTr="003307D9">
        <w:tc>
          <w:tcPr>
            <w:tcW w:w="1271" w:type="dxa"/>
          </w:tcPr>
          <w:p w14:paraId="615FF476" w14:textId="77777777" w:rsidR="003307D9" w:rsidRPr="003307D9" w:rsidRDefault="003307D9" w:rsidP="00847BF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307D9">
              <w:rPr>
                <w:rFonts w:ascii="Tahoma" w:hAnsi="Tahoma" w:cs="Tahoma"/>
                <w:sz w:val="21"/>
                <w:szCs w:val="21"/>
              </w:rPr>
              <w:t>1.</w:t>
            </w:r>
          </w:p>
        </w:tc>
        <w:tc>
          <w:tcPr>
            <w:tcW w:w="7791" w:type="dxa"/>
          </w:tcPr>
          <w:p w14:paraId="39323207" w14:textId="77777777" w:rsidR="003307D9" w:rsidRPr="003307D9" w:rsidRDefault="003307D9" w:rsidP="003307D9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307D9">
              <w:rPr>
                <w:rFonts w:ascii="Tahoma" w:hAnsi="Tahoma" w:cs="Tahoma"/>
                <w:color w:val="000000"/>
                <w:sz w:val="21"/>
                <w:szCs w:val="21"/>
              </w:rPr>
              <w:t>Původní vodoměry SV – demontáž a likvidace</w:t>
            </w:r>
          </w:p>
        </w:tc>
      </w:tr>
      <w:tr w:rsidR="003307D9" w14:paraId="42035CAB" w14:textId="77777777" w:rsidTr="003307D9">
        <w:tc>
          <w:tcPr>
            <w:tcW w:w="1271" w:type="dxa"/>
          </w:tcPr>
          <w:p w14:paraId="42CDA639" w14:textId="77777777" w:rsidR="003307D9" w:rsidRPr="003307D9" w:rsidRDefault="003307D9" w:rsidP="00847BF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307D9">
              <w:rPr>
                <w:rFonts w:ascii="Tahoma" w:hAnsi="Tahoma" w:cs="Tahoma"/>
                <w:sz w:val="21"/>
                <w:szCs w:val="21"/>
              </w:rPr>
              <w:t>2.</w:t>
            </w:r>
          </w:p>
        </w:tc>
        <w:tc>
          <w:tcPr>
            <w:tcW w:w="7791" w:type="dxa"/>
          </w:tcPr>
          <w:p w14:paraId="666EC188" w14:textId="77777777" w:rsidR="003307D9" w:rsidRPr="003307D9" w:rsidRDefault="003307D9" w:rsidP="003307D9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307D9">
              <w:rPr>
                <w:rFonts w:ascii="Tahoma" w:hAnsi="Tahoma" w:cs="Tahoma"/>
                <w:color w:val="000000"/>
                <w:sz w:val="21"/>
                <w:szCs w:val="21"/>
              </w:rPr>
              <w:t>Původní vodoměry TV – demontáž a likvidace</w:t>
            </w:r>
          </w:p>
        </w:tc>
      </w:tr>
      <w:tr w:rsidR="003307D9" w14:paraId="2FB2A8CC" w14:textId="77777777" w:rsidTr="003307D9">
        <w:tc>
          <w:tcPr>
            <w:tcW w:w="1271" w:type="dxa"/>
          </w:tcPr>
          <w:p w14:paraId="1606D2EE" w14:textId="77777777" w:rsidR="003307D9" w:rsidRPr="003307D9" w:rsidRDefault="003307D9" w:rsidP="00847BF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307D9">
              <w:rPr>
                <w:rFonts w:ascii="Tahoma" w:hAnsi="Tahoma" w:cs="Tahoma"/>
                <w:sz w:val="21"/>
                <w:szCs w:val="21"/>
              </w:rPr>
              <w:t>3.</w:t>
            </w:r>
          </w:p>
        </w:tc>
        <w:tc>
          <w:tcPr>
            <w:tcW w:w="7791" w:type="dxa"/>
          </w:tcPr>
          <w:p w14:paraId="1ED6C0E4" w14:textId="77777777" w:rsidR="003307D9" w:rsidRPr="003307D9" w:rsidRDefault="003307D9" w:rsidP="003307D9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307D9">
              <w:rPr>
                <w:rFonts w:ascii="Tahoma" w:hAnsi="Tahoma" w:cs="Tahoma"/>
                <w:color w:val="000000"/>
                <w:sz w:val="21"/>
                <w:szCs w:val="21"/>
              </w:rPr>
              <w:t>Původní IRTN – demontáž a likvidace</w:t>
            </w:r>
          </w:p>
        </w:tc>
      </w:tr>
    </w:tbl>
    <w:p w14:paraId="740255E6" w14:textId="77777777" w:rsidR="003307D9" w:rsidRPr="00847BF4" w:rsidRDefault="003307D9" w:rsidP="00847BF4">
      <w:pPr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8A656D0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Demontáž a ekologická likvidace výše uvedených zařízení. Při demontáži bude do montážního </w:t>
      </w:r>
    </w:p>
    <w:p w14:paraId="405D1F96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protokolu zhotovitele, ve kterém bude specifikována adresa a číslo domu, číslo jednotky, jméno a </w:t>
      </w:r>
    </w:p>
    <w:p w14:paraId="4F9195E8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příjmení uživatele bytu, či nebytového prostoru, proveden zápis data demontáže, výrobního čísla a </w:t>
      </w:r>
    </w:p>
    <w:p w14:paraId="1F30CC03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stavu k datu demontáže a tento bude podepsán uživatelem bytu, </w:t>
      </w:r>
      <w:proofErr w:type="spellStart"/>
      <w:r w:rsidRPr="00B01B10">
        <w:rPr>
          <w:rFonts w:ascii="Tahoma" w:hAnsi="Tahoma" w:cs="Tahoma"/>
          <w:sz w:val="21"/>
          <w:szCs w:val="21"/>
        </w:rPr>
        <w:t>nebytu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, nebo pověřenou osobou </w:t>
      </w:r>
    </w:p>
    <w:p w14:paraId="2E0F43B1" w14:textId="77777777" w:rsid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objednatele. </w:t>
      </w:r>
    </w:p>
    <w:p w14:paraId="1AA4A469" w14:textId="77777777" w:rsidR="00AE04B2" w:rsidRDefault="00AE04B2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307D9" w14:paraId="749E9C9C" w14:textId="77777777" w:rsidTr="003307D9">
        <w:tc>
          <w:tcPr>
            <w:tcW w:w="1271" w:type="dxa"/>
          </w:tcPr>
          <w:p w14:paraId="39441215" w14:textId="77777777" w:rsidR="003307D9" w:rsidRDefault="003307D9" w:rsidP="003307D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4.</w:t>
            </w:r>
          </w:p>
        </w:tc>
        <w:tc>
          <w:tcPr>
            <w:tcW w:w="7791" w:type="dxa"/>
          </w:tcPr>
          <w:p w14:paraId="0376837A" w14:textId="77777777" w:rsidR="003307D9" w:rsidRDefault="003307D9" w:rsidP="00DB1169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01B10">
              <w:rPr>
                <w:rFonts w:ascii="Tahoma" w:hAnsi="Tahoma" w:cs="Tahoma"/>
                <w:sz w:val="21"/>
                <w:szCs w:val="21"/>
              </w:rPr>
              <w:t>Sběrnice – dodávka a montáž</w:t>
            </w:r>
          </w:p>
        </w:tc>
      </w:tr>
    </w:tbl>
    <w:p w14:paraId="03EAFCD8" w14:textId="77777777" w:rsidR="003307D9" w:rsidRPr="00B01B10" w:rsidRDefault="003307D9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68F29ACC" w14:textId="33D12AAB" w:rsidR="00B01B10" w:rsidRDefault="00B01B10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Dodávka a montáž sběrnic. </w:t>
      </w:r>
      <w:r w:rsidR="00210C34">
        <w:rPr>
          <w:rFonts w:ascii="Tahoma" w:hAnsi="Tahoma" w:cs="Tahoma"/>
          <w:sz w:val="21"/>
          <w:szCs w:val="21"/>
        </w:rPr>
        <w:t>K</w:t>
      </w:r>
      <w:r w:rsidR="00210C34" w:rsidRPr="00B01B10">
        <w:rPr>
          <w:rFonts w:ascii="Tahoma" w:hAnsi="Tahoma" w:cs="Tahoma"/>
          <w:sz w:val="21"/>
          <w:szCs w:val="21"/>
        </w:rPr>
        <w:t xml:space="preserve"> </w:t>
      </w:r>
      <w:r w:rsidRPr="00B01B10">
        <w:rPr>
          <w:rFonts w:ascii="Tahoma" w:hAnsi="Tahoma" w:cs="Tahoma"/>
          <w:sz w:val="21"/>
          <w:szCs w:val="21"/>
        </w:rPr>
        <w:t xml:space="preserve">stanovení počtu sběrnic pro správné fungování systému přenosu dat slouží příloha č. </w:t>
      </w:r>
      <w:r w:rsidR="00F67F7A">
        <w:rPr>
          <w:rFonts w:ascii="Tahoma" w:hAnsi="Tahoma" w:cs="Tahoma"/>
          <w:sz w:val="21"/>
          <w:szCs w:val="21"/>
        </w:rPr>
        <w:t>5</w:t>
      </w:r>
      <w:r w:rsidRPr="00B01B10">
        <w:rPr>
          <w:rFonts w:ascii="Tahoma" w:hAnsi="Tahoma" w:cs="Tahoma"/>
          <w:sz w:val="21"/>
          <w:szCs w:val="21"/>
        </w:rPr>
        <w:t xml:space="preserve"> </w:t>
      </w:r>
      <w:r w:rsidR="003307D9" w:rsidRPr="00B01B10">
        <w:rPr>
          <w:rFonts w:ascii="Tahoma" w:hAnsi="Tahoma" w:cs="Tahoma"/>
          <w:sz w:val="21"/>
          <w:szCs w:val="21"/>
        </w:rPr>
        <w:t>smlouvy – Seznam</w:t>
      </w:r>
      <w:r w:rsidRPr="00B01B10">
        <w:rPr>
          <w:rFonts w:ascii="Tahoma" w:hAnsi="Tahoma" w:cs="Tahoma"/>
          <w:sz w:val="21"/>
          <w:szCs w:val="21"/>
        </w:rPr>
        <w:t xml:space="preserve"> </w:t>
      </w:r>
      <w:r w:rsidR="00F67F7A">
        <w:rPr>
          <w:rFonts w:ascii="Tahoma" w:hAnsi="Tahoma" w:cs="Tahoma"/>
          <w:sz w:val="21"/>
          <w:szCs w:val="21"/>
        </w:rPr>
        <w:t>budov</w:t>
      </w:r>
      <w:r w:rsidRPr="00B01B10">
        <w:rPr>
          <w:rFonts w:ascii="Tahoma" w:hAnsi="Tahoma" w:cs="Tahoma"/>
          <w:sz w:val="21"/>
          <w:szCs w:val="21"/>
        </w:rPr>
        <w:t xml:space="preserve">, která obsahuje informace o adrese, počtu podlaží, počtu bytů a </w:t>
      </w:r>
      <w:proofErr w:type="spellStart"/>
      <w:r w:rsidRPr="00B01B10">
        <w:rPr>
          <w:rFonts w:ascii="Tahoma" w:hAnsi="Tahoma" w:cs="Tahoma"/>
          <w:sz w:val="21"/>
          <w:szCs w:val="21"/>
        </w:rPr>
        <w:t>nebytů</w:t>
      </w:r>
      <w:proofErr w:type="spellEnd"/>
      <w:r w:rsidR="00251C2E">
        <w:rPr>
          <w:rFonts w:ascii="Tahoma" w:hAnsi="Tahoma" w:cs="Tahoma"/>
          <w:sz w:val="21"/>
          <w:szCs w:val="21"/>
        </w:rPr>
        <w:t xml:space="preserve"> a přepokládané počt</w:t>
      </w:r>
      <w:r w:rsidR="00210C34">
        <w:rPr>
          <w:rFonts w:ascii="Tahoma" w:hAnsi="Tahoma" w:cs="Tahoma"/>
          <w:sz w:val="21"/>
          <w:szCs w:val="21"/>
        </w:rPr>
        <w:t>y</w:t>
      </w:r>
      <w:r w:rsidR="00251C2E">
        <w:rPr>
          <w:rFonts w:ascii="Tahoma" w:hAnsi="Tahoma" w:cs="Tahoma"/>
          <w:sz w:val="21"/>
          <w:szCs w:val="21"/>
        </w:rPr>
        <w:t xml:space="preserve"> sběrnic v domě</w:t>
      </w:r>
      <w:r w:rsidRPr="00B01B10">
        <w:rPr>
          <w:rFonts w:ascii="Tahoma" w:hAnsi="Tahoma" w:cs="Tahoma"/>
          <w:sz w:val="21"/>
          <w:szCs w:val="21"/>
        </w:rPr>
        <w:t xml:space="preserve">. Při montáži zhotovitel uvede do montážního protokolu adresu a číslo domu, počet sběrnic v domě, označení typu instalovaných sběrnic včetně jejich výrobního čísla, </w:t>
      </w:r>
      <w:r w:rsidR="00210C34">
        <w:rPr>
          <w:rFonts w:ascii="Tahoma" w:hAnsi="Tahoma" w:cs="Tahoma"/>
          <w:sz w:val="21"/>
          <w:szCs w:val="21"/>
        </w:rPr>
        <w:t xml:space="preserve">jejich </w:t>
      </w:r>
      <w:r w:rsidRPr="00B01B10">
        <w:rPr>
          <w:rFonts w:ascii="Tahoma" w:hAnsi="Tahoma" w:cs="Tahoma"/>
          <w:sz w:val="21"/>
          <w:szCs w:val="21"/>
        </w:rPr>
        <w:t xml:space="preserve">umístění v domě, datum provedení instalace. Montážní protokol bude podepsán oprávněným zástupcem objednatele a zhotovitele. Ke každé instalované sběrnici vytvoří zhotovitel fotografii jejího umístění, kterou předá v elektronické podobě objednateli.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AE04B2" w14:paraId="6A4038CF" w14:textId="77777777" w:rsidTr="005675E2">
        <w:tc>
          <w:tcPr>
            <w:tcW w:w="1271" w:type="dxa"/>
          </w:tcPr>
          <w:p w14:paraId="3E296405" w14:textId="77777777" w:rsidR="00AE04B2" w:rsidRDefault="00AE04B2" w:rsidP="00AE04B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DA79" w14:textId="77777777" w:rsidR="00AE04B2" w:rsidRPr="00AE04B2" w:rsidRDefault="00AE04B2" w:rsidP="00AE04B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E04B2">
              <w:rPr>
                <w:rFonts w:ascii="Tahoma" w:hAnsi="Tahoma" w:cs="Tahoma"/>
                <w:color w:val="000000"/>
                <w:sz w:val="21"/>
                <w:szCs w:val="21"/>
              </w:rPr>
              <w:t>Vodoměry SV – dodávka a montáž včetně zpětné klapky a radiového modulu</w:t>
            </w:r>
          </w:p>
        </w:tc>
      </w:tr>
      <w:tr w:rsidR="00AE04B2" w14:paraId="412B8E64" w14:textId="77777777" w:rsidTr="005675E2">
        <w:tc>
          <w:tcPr>
            <w:tcW w:w="1271" w:type="dxa"/>
          </w:tcPr>
          <w:p w14:paraId="3CD049C5" w14:textId="77777777" w:rsidR="00AE04B2" w:rsidRDefault="00AE04B2" w:rsidP="00AE04B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6.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EBFA" w14:textId="77777777" w:rsidR="00AE04B2" w:rsidRPr="00AE04B2" w:rsidRDefault="00AE04B2" w:rsidP="00AE04B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E04B2">
              <w:rPr>
                <w:rFonts w:ascii="Tahoma" w:hAnsi="Tahoma" w:cs="Tahoma"/>
                <w:color w:val="000000"/>
                <w:sz w:val="21"/>
                <w:szCs w:val="21"/>
              </w:rPr>
              <w:t>Vodoměry TV – dodávka a montáž včetně zpětné klapky a radiového modulu</w:t>
            </w:r>
          </w:p>
        </w:tc>
      </w:tr>
      <w:tr w:rsidR="00A776AC" w14:paraId="2D0FC547" w14:textId="77777777" w:rsidTr="005675E2">
        <w:tc>
          <w:tcPr>
            <w:tcW w:w="1271" w:type="dxa"/>
          </w:tcPr>
          <w:p w14:paraId="53734E9B" w14:textId="1B7C35E4" w:rsidR="00A776AC" w:rsidRDefault="00A776AC" w:rsidP="00AE04B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7.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CCF" w14:textId="08AD76EF" w:rsidR="00A776AC" w:rsidRPr="00AE04B2" w:rsidRDefault="00A776AC" w:rsidP="00AE04B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bookmarkStart w:id="0" w:name="_Hlk191891397"/>
            <w:r>
              <w:rPr>
                <w:rFonts w:ascii="Tahoma" w:hAnsi="Tahoma" w:cs="Tahoma"/>
                <w:color w:val="000000"/>
                <w:sz w:val="21"/>
                <w:szCs w:val="21"/>
              </w:rPr>
              <w:t>Vodoměry SV, TV, dodávka a montáž, výměna po 5 letech, včetně zpětné klapky</w:t>
            </w:r>
            <w:bookmarkEnd w:id="0"/>
          </w:p>
        </w:tc>
      </w:tr>
      <w:tr w:rsidR="00AE04B2" w14:paraId="393397E0" w14:textId="77777777" w:rsidTr="005675E2">
        <w:tc>
          <w:tcPr>
            <w:tcW w:w="1271" w:type="dxa"/>
          </w:tcPr>
          <w:p w14:paraId="3F02717D" w14:textId="6BB000D4" w:rsidR="00AE04B2" w:rsidRDefault="00A776AC" w:rsidP="00AE04B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</w:t>
            </w:r>
            <w:r w:rsidR="00AE04B2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61C" w14:textId="77777777" w:rsidR="00AE04B2" w:rsidRPr="00AE04B2" w:rsidRDefault="00AE04B2" w:rsidP="00AE04B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E04B2">
              <w:rPr>
                <w:rFonts w:ascii="Tahoma" w:hAnsi="Tahoma" w:cs="Tahoma"/>
                <w:color w:val="000000"/>
                <w:sz w:val="21"/>
                <w:szCs w:val="21"/>
              </w:rPr>
              <w:t>IRTN – dodávka a montáž</w:t>
            </w:r>
          </w:p>
        </w:tc>
      </w:tr>
    </w:tbl>
    <w:p w14:paraId="0B562ED7" w14:textId="77777777" w:rsidR="00AE04B2" w:rsidRPr="00B01B10" w:rsidRDefault="00AE04B2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044FA602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Dodávka a montáž nových, nepoužitých IRTN, a vodoměrů včetně montážního materiálu. </w:t>
      </w:r>
    </w:p>
    <w:p w14:paraId="7EA03B2B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Při montáži bude do montážního protokolu zhotovitele, ve kterém bude specifikována adresa a číslo </w:t>
      </w:r>
    </w:p>
    <w:p w14:paraId="640AD369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domu, číslo jednotky, jméno a příjmení uživatele bytu, či nebytového prostoru, proveden zápis data </w:t>
      </w:r>
    </w:p>
    <w:p w14:paraId="0E5D477A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montáže, výrobního čísla a stavu k datu montáže a tento bude podepsán uživatelem bytu, </w:t>
      </w:r>
      <w:proofErr w:type="spellStart"/>
      <w:r w:rsidRPr="00B01B10">
        <w:rPr>
          <w:rFonts w:ascii="Tahoma" w:hAnsi="Tahoma" w:cs="Tahoma"/>
          <w:sz w:val="21"/>
          <w:szCs w:val="21"/>
        </w:rPr>
        <w:t>nebytu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, </w:t>
      </w:r>
    </w:p>
    <w:p w14:paraId="2B8BCF1D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nebo pověřenou osobou objednatele. U indikátorů topných nákladů není nutné zapisovat počáteční </w:t>
      </w:r>
    </w:p>
    <w:p w14:paraId="6161AA25" w14:textId="3444E1EE" w:rsidR="00A776AC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>stav</w:t>
      </w:r>
      <w:r w:rsidR="00210C34">
        <w:rPr>
          <w:rFonts w:ascii="Tahoma" w:hAnsi="Tahoma" w:cs="Tahoma"/>
          <w:sz w:val="21"/>
          <w:szCs w:val="21"/>
        </w:rPr>
        <w:t xml:space="preserve"> </w:t>
      </w:r>
      <w:r w:rsidR="00251C2E">
        <w:rPr>
          <w:rFonts w:ascii="Tahoma" w:hAnsi="Tahoma" w:cs="Tahoma"/>
          <w:sz w:val="21"/>
          <w:szCs w:val="21"/>
        </w:rPr>
        <w:t>za předpokladu, že bude</w:t>
      </w:r>
      <w:r w:rsidRPr="00B01B10">
        <w:rPr>
          <w:rFonts w:ascii="Tahoma" w:hAnsi="Tahoma" w:cs="Tahoma"/>
          <w:sz w:val="21"/>
          <w:szCs w:val="21"/>
        </w:rPr>
        <w:t xml:space="preserve"> nulový. U indikátorů topných nákladů bude zároveň provedeno vytvoření podkladů pro určení všech potřebných koeficientů pro </w:t>
      </w:r>
      <w:r w:rsidRPr="007338E9">
        <w:rPr>
          <w:rFonts w:ascii="Tahoma" w:hAnsi="Tahoma" w:cs="Tahoma"/>
          <w:sz w:val="21"/>
          <w:szCs w:val="21"/>
        </w:rPr>
        <w:t>rozúčtování. Jako je výkon</w:t>
      </w:r>
      <w:r w:rsidR="007673B3">
        <w:rPr>
          <w:rFonts w:ascii="Tahoma" w:hAnsi="Tahoma" w:cs="Tahoma"/>
          <w:sz w:val="21"/>
          <w:szCs w:val="21"/>
        </w:rPr>
        <w:t>,</w:t>
      </w:r>
      <w:r w:rsidRPr="007338E9">
        <w:rPr>
          <w:rFonts w:ascii="Tahoma" w:hAnsi="Tahoma" w:cs="Tahoma"/>
          <w:sz w:val="21"/>
          <w:szCs w:val="21"/>
        </w:rPr>
        <w:t xml:space="preserve"> koeficient zohledňující horší polohu místnosti</w:t>
      </w:r>
      <w:r w:rsidR="007338E9">
        <w:rPr>
          <w:rFonts w:ascii="Tahoma" w:hAnsi="Tahoma" w:cs="Tahoma"/>
          <w:sz w:val="21"/>
          <w:szCs w:val="21"/>
        </w:rPr>
        <w:t>,</w:t>
      </w:r>
      <w:r w:rsidRPr="007338E9">
        <w:rPr>
          <w:rFonts w:ascii="Tahoma" w:hAnsi="Tahoma" w:cs="Tahoma"/>
          <w:sz w:val="21"/>
          <w:szCs w:val="21"/>
        </w:rPr>
        <w:t xml:space="preserve"> </w:t>
      </w:r>
      <w:r w:rsidR="007673B3" w:rsidRPr="007338E9">
        <w:rPr>
          <w:rFonts w:ascii="Tahoma" w:hAnsi="Tahoma" w:cs="Tahoma"/>
          <w:sz w:val="21"/>
          <w:szCs w:val="21"/>
        </w:rPr>
        <w:t>koeficient,</w:t>
      </w:r>
      <w:r w:rsidRPr="007338E9">
        <w:rPr>
          <w:rFonts w:ascii="Tahoma" w:hAnsi="Tahoma" w:cs="Tahoma"/>
          <w:sz w:val="21"/>
          <w:szCs w:val="21"/>
        </w:rPr>
        <w:t xml:space="preserve"> který vyjadřuje tepelný styk mezi</w:t>
      </w:r>
      <w:r w:rsidR="00AE04B2" w:rsidRPr="007338E9">
        <w:rPr>
          <w:rFonts w:ascii="Tahoma" w:hAnsi="Tahoma" w:cs="Tahoma"/>
          <w:sz w:val="21"/>
          <w:szCs w:val="21"/>
        </w:rPr>
        <w:t xml:space="preserve"> </w:t>
      </w:r>
      <w:r w:rsidRPr="007338E9">
        <w:rPr>
          <w:rFonts w:ascii="Tahoma" w:hAnsi="Tahoma" w:cs="Tahoma"/>
          <w:sz w:val="21"/>
          <w:szCs w:val="21"/>
        </w:rPr>
        <w:t xml:space="preserve">teplotou teplonosné látky a teplotou </w:t>
      </w:r>
      <w:r w:rsidR="007673B3" w:rsidRPr="007338E9">
        <w:rPr>
          <w:rFonts w:ascii="Tahoma" w:hAnsi="Tahoma" w:cs="Tahoma"/>
          <w:sz w:val="21"/>
          <w:szCs w:val="21"/>
        </w:rPr>
        <w:t>snímačů</w:t>
      </w:r>
      <w:r w:rsidR="007673B3">
        <w:rPr>
          <w:rFonts w:ascii="Tahoma" w:hAnsi="Tahoma" w:cs="Tahoma"/>
          <w:sz w:val="21"/>
          <w:szCs w:val="21"/>
        </w:rPr>
        <w:t>…</w:t>
      </w:r>
      <w:r w:rsidR="00F67F7A">
        <w:rPr>
          <w:rFonts w:ascii="Tahoma" w:hAnsi="Tahoma" w:cs="Tahoma"/>
          <w:sz w:val="21"/>
          <w:szCs w:val="21"/>
        </w:rPr>
        <w:t>atd.</w:t>
      </w:r>
      <w:r w:rsidR="007338E9">
        <w:rPr>
          <w:rFonts w:ascii="Tahoma" w:hAnsi="Tahoma" w:cs="Tahoma"/>
          <w:sz w:val="21"/>
          <w:szCs w:val="21"/>
        </w:rPr>
        <w:t>, dle platné legislativy</w:t>
      </w:r>
      <w:r w:rsidR="00A776AC">
        <w:rPr>
          <w:rFonts w:ascii="Tahoma" w:hAnsi="Tahoma" w:cs="Tahoma"/>
          <w:sz w:val="21"/>
          <w:szCs w:val="21"/>
        </w:rPr>
        <w:t>.</w:t>
      </w:r>
    </w:p>
    <w:p w14:paraId="571428E9" w14:textId="5424BEFA" w:rsidR="00B01B10" w:rsidRDefault="00A776AC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Vodoměry SV, TV, dodávka a montáž, výměna po 5 letech, včetně zpětné klapky.</w:t>
      </w:r>
    </w:p>
    <w:p w14:paraId="3B724418" w14:textId="77777777" w:rsidR="00AE04B2" w:rsidRPr="00B01B10" w:rsidRDefault="00AE04B2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9AB1134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Dodávka a montáž </w:t>
      </w:r>
      <w:proofErr w:type="spellStart"/>
      <w:r w:rsidRPr="00B01B10">
        <w:rPr>
          <w:rFonts w:ascii="Tahoma" w:hAnsi="Tahoma" w:cs="Tahoma"/>
          <w:sz w:val="21"/>
          <w:szCs w:val="21"/>
        </w:rPr>
        <w:t>radiomodulu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na bytový vodoměr, včetně jeho parametrizace k bytovému vodoměru. Při montáži bude do montážního protokolu zhotovitele, ve kterém bude specifikována adresa a číslo domu, číslo jednotky, jméno a příjmení uživatele bytu, či nebytového prostoru, proveden zápis data montáže, výrobního čísla </w:t>
      </w:r>
      <w:proofErr w:type="spellStart"/>
      <w:r w:rsidRPr="00B01B10">
        <w:rPr>
          <w:rFonts w:ascii="Tahoma" w:hAnsi="Tahoma" w:cs="Tahoma"/>
          <w:sz w:val="21"/>
          <w:szCs w:val="21"/>
        </w:rPr>
        <w:t>radiomodulu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k příslušnému vodoměru a tento bude </w:t>
      </w:r>
    </w:p>
    <w:p w14:paraId="22BFD27B" w14:textId="77777777" w:rsidR="00B01B10" w:rsidRP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podepsán uživatelem bytu, </w:t>
      </w:r>
      <w:proofErr w:type="spellStart"/>
      <w:r w:rsidRPr="00B01B10">
        <w:rPr>
          <w:rFonts w:ascii="Tahoma" w:hAnsi="Tahoma" w:cs="Tahoma"/>
          <w:sz w:val="21"/>
          <w:szCs w:val="21"/>
        </w:rPr>
        <w:t>nebytu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, nebo pověřenou osobou </w:t>
      </w:r>
      <w:r w:rsidR="00AE04B2" w:rsidRPr="00B01B10">
        <w:rPr>
          <w:rFonts w:ascii="Tahoma" w:hAnsi="Tahoma" w:cs="Tahoma"/>
          <w:sz w:val="21"/>
          <w:szCs w:val="21"/>
        </w:rPr>
        <w:t>objednatele.</w:t>
      </w:r>
      <w:r w:rsidR="00AE04B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01B10">
        <w:rPr>
          <w:rFonts w:ascii="Tahoma" w:hAnsi="Tahoma" w:cs="Tahoma"/>
          <w:sz w:val="21"/>
          <w:szCs w:val="21"/>
        </w:rPr>
        <w:t>Radiomodul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bude použit </w:t>
      </w:r>
    </w:p>
    <w:p w14:paraId="33FA8350" w14:textId="77777777" w:rsidR="00B01B10" w:rsidRDefault="00B01B10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na 10 let, tedy po </w:t>
      </w:r>
      <w:r w:rsidR="00AE04B2" w:rsidRPr="00B01B10">
        <w:rPr>
          <w:rFonts w:ascii="Tahoma" w:hAnsi="Tahoma" w:cs="Tahoma"/>
          <w:sz w:val="21"/>
          <w:szCs w:val="21"/>
        </w:rPr>
        <w:t>5</w:t>
      </w:r>
      <w:r w:rsidRPr="00B01B10">
        <w:rPr>
          <w:rFonts w:ascii="Tahoma" w:hAnsi="Tahoma" w:cs="Tahoma"/>
          <w:sz w:val="21"/>
          <w:szCs w:val="21"/>
        </w:rPr>
        <w:t xml:space="preserve"> letech, kdy dojde k výměně bytového vodoměru za nový, bude tento </w:t>
      </w:r>
      <w:proofErr w:type="spellStart"/>
      <w:r w:rsidRPr="00B01B10">
        <w:rPr>
          <w:rFonts w:ascii="Tahoma" w:hAnsi="Tahoma" w:cs="Tahoma"/>
          <w:sz w:val="21"/>
          <w:szCs w:val="21"/>
        </w:rPr>
        <w:t>radiomodul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použit a </w:t>
      </w:r>
      <w:proofErr w:type="spellStart"/>
      <w:r w:rsidRPr="00B01B10">
        <w:rPr>
          <w:rFonts w:ascii="Tahoma" w:hAnsi="Tahoma" w:cs="Tahoma"/>
          <w:sz w:val="21"/>
          <w:szCs w:val="21"/>
        </w:rPr>
        <w:t>naparametrizován</w:t>
      </w:r>
      <w:proofErr w:type="spellEnd"/>
      <w:r w:rsidRPr="00B01B10">
        <w:rPr>
          <w:rFonts w:ascii="Tahoma" w:hAnsi="Tahoma" w:cs="Tahoma"/>
          <w:sz w:val="21"/>
          <w:szCs w:val="21"/>
        </w:rPr>
        <w:t xml:space="preserve"> na nový bytový vodoměr. </w:t>
      </w:r>
    </w:p>
    <w:p w14:paraId="2C8C6A9B" w14:textId="77777777" w:rsidR="00AE04B2" w:rsidRPr="00B01B10" w:rsidRDefault="00AE04B2" w:rsidP="00AE04B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1E28E48" w14:textId="57631086" w:rsidR="00B24057" w:rsidRDefault="00B24057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0E7DD1DB" w14:textId="0BE864A0" w:rsidR="000073E8" w:rsidRDefault="000073E8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6D690C17" w14:textId="77777777" w:rsidR="000073E8" w:rsidRDefault="000073E8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482180" w14:paraId="33ECF50E" w14:textId="77777777" w:rsidTr="00A13C59">
        <w:tc>
          <w:tcPr>
            <w:tcW w:w="1129" w:type="dxa"/>
          </w:tcPr>
          <w:p w14:paraId="0B792F0F" w14:textId="696EEBEA" w:rsidR="00482180" w:rsidRDefault="00A776AC" w:rsidP="0048218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9</w:t>
            </w:r>
            <w:r w:rsidR="0048218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1031" w14:textId="0070D2BD" w:rsidR="00482180" w:rsidRPr="00482180" w:rsidRDefault="00482180" w:rsidP="0048218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 xml:space="preserve">IRTN – </w:t>
            </w:r>
            <w:r w:rsidR="00210C34">
              <w:rPr>
                <w:rFonts w:ascii="Tahoma" w:hAnsi="Tahoma" w:cs="Tahoma"/>
                <w:color w:val="000000"/>
                <w:sz w:val="21"/>
                <w:szCs w:val="21"/>
              </w:rPr>
              <w:t xml:space="preserve">minimální </w:t>
            </w: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>měsíční odečet, informování příjemce služeb o spotřebě dálkovým přístupem – systém se sběrnicemi</w:t>
            </w:r>
          </w:p>
        </w:tc>
      </w:tr>
      <w:tr w:rsidR="00482180" w14:paraId="632DC1BD" w14:textId="77777777" w:rsidTr="00A13C59">
        <w:tc>
          <w:tcPr>
            <w:tcW w:w="1129" w:type="dxa"/>
          </w:tcPr>
          <w:p w14:paraId="2481D7FB" w14:textId="7C7EA4B8" w:rsidR="00482180" w:rsidRDefault="00A776AC" w:rsidP="0048218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</w:t>
            </w:r>
            <w:r w:rsidR="0048218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6D03" w14:textId="0857E9D4" w:rsidR="00482180" w:rsidRPr="00482180" w:rsidRDefault="00482180" w:rsidP="0048218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 xml:space="preserve">Vodoměr SV – </w:t>
            </w:r>
            <w:r w:rsidR="00210C34">
              <w:rPr>
                <w:rFonts w:ascii="Tahoma" w:hAnsi="Tahoma" w:cs="Tahoma"/>
                <w:color w:val="000000"/>
                <w:sz w:val="21"/>
                <w:szCs w:val="21"/>
              </w:rPr>
              <w:t xml:space="preserve">minimální </w:t>
            </w: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>měsíční odečet, informování příjemce služeb o spotřebě dálkovým přístupem – systém se sběrnicemi</w:t>
            </w:r>
          </w:p>
        </w:tc>
      </w:tr>
      <w:tr w:rsidR="00482180" w14:paraId="13E35777" w14:textId="77777777" w:rsidTr="00A13C59">
        <w:tc>
          <w:tcPr>
            <w:tcW w:w="1129" w:type="dxa"/>
          </w:tcPr>
          <w:p w14:paraId="6D6E4B98" w14:textId="163B2A7A" w:rsidR="00482180" w:rsidRDefault="00482180" w:rsidP="0048218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A776AC">
              <w:rPr>
                <w:rFonts w:ascii="Tahoma" w:hAnsi="Tahoma" w:cs="Tahoma"/>
                <w:sz w:val="21"/>
                <w:szCs w:val="21"/>
              </w:rPr>
              <w:t>1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018D" w14:textId="5F9D1554" w:rsidR="00482180" w:rsidRPr="00482180" w:rsidRDefault="00482180" w:rsidP="0048218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 xml:space="preserve">Vodoměr TV – </w:t>
            </w:r>
            <w:r w:rsidR="00210C34">
              <w:rPr>
                <w:rFonts w:ascii="Tahoma" w:hAnsi="Tahoma" w:cs="Tahoma"/>
                <w:color w:val="000000"/>
                <w:sz w:val="21"/>
                <w:szCs w:val="21"/>
              </w:rPr>
              <w:t xml:space="preserve">minimální </w:t>
            </w:r>
            <w:r w:rsidRPr="00482180">
              <w:rPr>
                <w:rFonts w:ascii="Tahoma" w:hAnsi="Tahoma" w:cs="Tahoma"/>
                <w:color w:val="000000"/>
                <w:sz w:val="21"/>
                <w:szCs w:val="21"/>
              </w:rPr>
              <w:t>měsíční odečet, informování příjemce služeb o spotřebě dálkovým přístupem – systém se sběrnicemi</w:t>
            </w:r>
          </w:p>
        </w:tc>
      </w:tr>
    </w:tbl>
    <w:p w14:paraId="139F3086" w14:textId="77777777" w:rsidR="00B24057" w:rsidRDefault="00B24057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5D15324F" w14:textId="0EE8D5B1" w:rsidR="00B01B10" w:rsidRPr="00B01B10" w:rsidRDefault="00B01B10" w:rsidP="00482180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>Odečet stavů nově osazených radiových IRTN, vodoměrů na studenou a teplou vodu bez vstupu do bytu s využitím systému sběrnic. Odečtené stavy budou použity pro rozúčtování a pro pravidelné informování o spotřebě tepla na vytápění a centralizované poskytování teplé vody dle zákona č. 67/2013 Sb.</w:t>
      </w:r>
      <w:r w:rsidR="00870533">
        <w:rPr>
          <w:rFonts w:ascii="Tahoma" w:hAnsi="Tahoma" w:cs="Tahoma"/>
          <w:sz w:val="21"/>
          <w:szCs w:val="21"/>
        </w:rPr>
        <w:t>,</w:t>
      </w:r>
      <w:r w:rsidR="00870533" w:rsidRPr="00870533">
        <w:t xml:space="preserve"> </w:t>
      </w:r>
      <w:r w:rsidR="00870533" w:rsidRPr="00870533">
        <w:rPr>
          <w:rFonts w:ascii="Tahoma" w:hAnsi="Tahoma" w:cs="Tahoma"/>
          <w:sz w:val="21"/>
          <w:szCs w:val="21"/>
        </w:rPr>
        <w:t>kterým se upravují některé otázky související s poskytováním plnění spojených s užíváním bytů a nebytových prostorů v domě s</w:t>
      </w:r>
      <w:r w:rsidR="00870533">
        <w:rPr>
          <w:rFonts w:ascii="Tahoma" w:hAnsi="Tahoma" w:cs="Tahoma"/>
          <w:sz w:val="21"/>
          <w:szCs w:val="21"/>
        </w:rPr>
        <w:t> </w:t>
      </w:r>
      <w:r w:rsidR="00870533" w:rsidRPr="00870533">
        <w:rPr>
          <w:rFonts w:ascii="Tahoma" w:hAnsi="Tahoma" w:cs="Tahoma"/>
          <w:sz w:val="21"/>
          <w:szCs w:val="21"/>
        </w:rPr>
        <w:t>byty</w:t>
      </w:r>
      <w:r w:rsidR="00870533">
        <w:rPr>
          <w:rFonts w:ascii="Tahoma" w:hAnsi="Tahoma" w:cs="Tahoma"/>
          <w:sz w:val="21"/>
          <w:szCs w:val="21"/>
        </w:rPr>
        <w:t>, ve znění pozdějších předpisů.</w:t>
      </w:r>
    </w:p>
    <w:p w14:paraId="0EAECEAC" w14:textId="73627AA2" w:rsidR="00560320" w:rsidRPr="003025E6" w:rsidRDefault="00560320" w:rsidP="00560320">
      <w:p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Spotřeba tepla a vody bude zpřístupněná zadavateli a jednotlivým koncovým spotřebitelům na zhotovitelem provozovan</w:t>
      </w:r>
      <w:r w:rsidR="00992F06">
        <w:rPr>
          <w:rFonts w:ascii="Tahoma" w:hAnsi="Tahoma" w:cs="Tahoma"/>
          <w:sz w:val="21"/>
          <w:szCs w:val="21"/>
        </w:rPr>
        <w:t>ém</w:t>
      </w:r>
      <w:r>
        <w:rPr>
          <w:rFonts w:ascii="Tahoma" w:hAnsi="Tahoma" w:cs="Tahoma"/>
          <w:sz w:val="21"/>
          <w:szCs w:val="21"/>
        </w:rPr>
        <w:t xml:space="preserve"> webov</w:t>
      </w:r>
      <w:r w:rsidR="00992F06">
        <w:rPr>
          <w:rFonts w:ascii="Tahoma" w:hAnsi="Tahoma" w:cs="Tahoma"/>
          <w:sz w:val="21"/>
          <w:szCs w:val="21"/>
        </w:rPr>
        <w:t>é</w:t>
      </w:r>
      <w:r>
        <w:rPr>
          <w:rFonts w:ascii="Tahoma" w:hAnsi="Tahoma" w:cs="Tahoma"/>
          <w:sz w:val="21"/>
          <w:szCs w:val="21"/>
        </w:rPr>
        <w:t>m portálu.</w:t>
      </w:r>
      <w:r w:rsidRPr="00560320">
        <w:rPr>
          <w:rFonts w:ascii="Tahoma" w:hAnsi="Tahoma" w:cs="Tahoma"/>
          <w:sz w:val="21"/>
          <w:szCs w:val="21"/>
        </w:rPr>
        <w:t xml:space="preserve"> </w:t>
      </w:r>
      <w:r w:rsidRPr="003025E6">
        <w:rPr>
          <w:rFonts w:ascii="Tahoma" w:hAnsi="Tahoma" w:cs="Tahoma"/>
          <w:sz w:val="21"/>
          <w:szCs w:val="21"/>
        </w:rPr>
        <w:t>Spotřeby tepla a vody budou na webovém portálu aktualizovány minimálně 1 x měsíčně.</w:t>
      </w:r>
    </w:p>
    <w:p w14:paraId="7C3DA092" w14:textId="3F643FDB" w:rsidR="00B01B10" w:rsidRPr="00B01B10" w:rsidRDefault="00B01B10" w:rsidP="00482180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Přístupové údaje na jednotlivé příjemce služeb budou zhotovitelem předány objednateli v elektronické podobě a objednatel zajistí jejich prokazatelné předání příjemci služeb. V případě změny uživatelů, objednatel oznámí zhotoviteli, který zajistí ukončení dálkového přístupu předchozímu uživateli k určitému datu a současně zhotovitel předá objednateli nové přístupové údaje k dálkovému přístupu. </w:t>
      </w:r>
    </w:p>
    <w:p w14:paraId="0CFB781C" w14:textId="77777777" w:rsidR="003A0792" w:rsidRDefault="003A0792" w:rsidP="00482180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3A0792" w14:paraId="3D923320" w14:textId="77777777" w:rsidTr="00A81D87">
        <w:tc>
          <w:tcPr>
            <w:tcW w:w="1129" w:type="dxa"/>
          </w:tcPr>
          <w:p w14:paraId="263B70B0" w14:textId="067AF46A" w:rsidR="003A0792" w:rsidRDefault="003A0792" w:rsidP="003A079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A776AC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159" w14:textId="77777777" w:rsidR="003A0792" w:rsidRPr="003A0792" w:rsidRDefault="003A0792" w:rsidP="003A079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3A0792">
              <w:rPr>
                <w:rFonts w:ascii="Tahoma" w:hAnsi="Tahoma" w:cs="Tahoma"/>
                <w:color w:val="000000"/>
                <w:sz w:val="21"/>
                <w:szCs w:val="21"/>
              </w:rPr>
              <w:t>IRTN – roční rozúčtování</w:t>
            </w:r>
          </w:p>
        </w:tc>
      </w:tr>
      <w:tr w:rsidR="003A0792" w14:paraId="126DF8E0" w14:textId="77777777" w:rsidTr="00A81D87">
        <w:tc>
          <w:tcPr>
            <w:tcW w:w="1129" w:type="dxa"/>
          </w:tcPr>
          <w:p w14:paraId="2CC02CC4" w14:textId="1D43347F" w:rsidR="003A0792" w:rsidRDefault="003A0792" w:rsidP="003A079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A776AC">
              <w:rPr>
                <w:rFonts w:ascii="Tahoma" w:hAnsi="Tahoma" w:cs="Tahoma"/>
                <w:sz w:val="21"/>
                <w:szCs w:val="21"/>
              </w:rPr>
              <w:t>3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2262" w14:textId="28328CBD" w:rsidR="003A0792" w:rsidRPr="003A0792" w:rsidRDefault="007338E9" w:rsidP="003A079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t xml:space="preserve"> </w:t>
            </w:r>
            <w:r w:rsidRPr="007338E9">
              <w:rPr>
                <w:rFonts w:ascii="Tahoma" w:hAnsi="Tahoma" w:cs="Tahoma"/>
                <w:color w:val="000000"/>
                <w:sz w:val="21"/>
                <w:szCs w:val="21"/>
              </w:rPr>
              <w:t>Roční provoz webového portálu k nahlížení na spotřeby tepla a vody jednotlivým uživatelům a zadavateli</w:t>
            </w:r>
          </w:p>
        </w:tc>
      </w:tr>
      <w:tr w:rsidR="003A0792" w14:paraId="7D678ECC" w14:textId="77777777" w:rsidTr="00A81D87">
        <w:tc>
          <w:tcPr>
            <w:tcW w:w="1129" w:type="dxa"/>
          </w:tcPr>
          <w:p w14:paraId="1FF152BD" w14:textId="319D9B96" w:rsidR="003A0792" w:rsidRDefault="003A0792" w:rsidP="003A079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A776AC">
              <w:rPr>
                <w:rFonts w:ascii="Tahoma" w:hAnsi="Tahoma" w:cs="Tahoma"/>
                <w:sz w:val="21"/>
                <w:szCs w:val="21"/>
              </w:rPr>
              <w:t>4.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DA54" w14:textId="364DEBBA" w:rsidR="003A0792" w:rsidRPr="003A0792" w:rsidRDefault="007338E9" w:rsidP="003A079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t xml:space="preserve"> </w:t>
            </w:r>
            <w:r w:rsidRPr="007338E9">
              <w:rPr>
                <w:rFonts w:ascii="Tahoma" w:hAnsi="Tahoma" w:cs="Tahoma"/>
                <w:color w:val="000000"/>
                <w:sz w:val="21"/>
                <w:szCs w:val="21"/>
              </w:rPr>
              <w:t>Změna uživatele v databázi</w:t>
            </w:r>
          </w:p>
        </w:tc>
      </w:tr>
    </w:tbl>
    <w:p w14:paraId="08DE107D" w14:textId="77777777" w:rsidR="003A0792" w:rsidRDefault="003A0792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4A2B3FEF" w14:textId="77777777" w:rsidR="00B01B10" w:rsidRPr="00B01B10" w:rsidRDefault="00B01B10" w:rsidP="003A079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Rozúčtování bude provedeno dle vyhlášky č. 269/2015 Sb., o rozúčtování nákladů na vytápění a </w:t>
      </w:r>
    </w:p>
    <w:p w14:paraId="78409A53" w14:textId="77777777" w:rsidR="00B01B10" w:rsidRPr="00B01B10" w:rsidRDefault="00B01B10" w:rsidP="003A079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společnou přípravu teplé vody pro dům, ve znění pozdějších předpisů a dle zákona č. 67/2013 Sb., </w:t>
      </w:r>
    </w:p>
    <w:p w14:paraId="616D4E92" w14:textId="77777777" w:rsidR="00B01B10" w:rsidRPr="00B01B10" w:rsidRDefault="00B01B10" w:rsidP="003A079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kterým se upravují některé otázky související s poskytováním plnění spojených s užíváním bytů a </w:t>
      </w:r>
    </w:p>
    <w:p w14:paraId="396C30F3" w14:textId="77777777" w:rsidR="00B01B10" w:rsidRPr="00B01B10" w:rsidRDefault="00B01B10" w:rsidP="003A079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01B10">
        <w:rPr>
          <w:rFonts w:ascii="Tahoma" w:hAnsi="Tahoma" w:cs="Tahoma"/>
          <w:sz w:val="21"/>
          <w:szCs w:val="21"/>
        </w:rPr>
        <w:t xml:space="preserve">nebytových prostorů v domě s byty, ve znění pozdějších předpisů. </w:t>
      </w:r>
    </w:p>
    <w:p w14:paraId="646C98C0" w14:textId="57BF5A16" w:rsidR="00B01B10" w:rsidRPr="00B01B10" w:rsidRDefault="00B01B10" w:rsidP="00DB1169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sectPr w:rsidR="00B01B10" w:rsidRPr="00B01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0207" w14:textId="77777777" w:rsidR="0037194A" w:rsidRDefault="0037194A" w:rsidP="00DB1169">
      <w:pPr>
        <w:spacing w:after="0" w:line="240" w:lineRule="auto"/>
      </w:pPr>
      <w:r>
        <w:separator/>
      </w:r>
    </w:p>
  </w:endnote>
  <w:endnote w:type="continuationSeparator" w:id="0">
    <w:p w14:paraId="7C4999EA" w14:textId="77777777" w:rsidR="0037194A" w:rsidRDefault="0037194A" w:rsidP="00DB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BC375" w14:textId="77777777" w:rsidR="0037194A" w:rsidRDefault="0037194A" w:rsidP="00DB1169">
      <w:pPr>
        <w:spacing w:after="0" w:line="240" w:lineRule="auto"/>
      </w:pPr>
      <w:r>
        <w:separator/>
      </w:r>
    </w:p>
  </w:footnote>
  <w:footnote w:type="continuationSeparator" w:id="0">
    <w:p w14:paraId="334FF1BA" w14:textId="77777777" w:rsidR="0037194A" w:rsidRDefault="0037194A" w:rsidP="00DB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D4AD" w14:textId="77777777" w:rsidR="00DB1169" w:rsidRPr="00DB1169" w:rsidRDefault="00DB1169" w:rsidP="00DB1169">
    <w:pPr>
      <w:spacing w:line="240" w:lineRule="auto"/>
      <w:jc w:val="both"/>
      <w:rPr>
        <w:rFonts w:ascii="Tahoma" w:hAnsi="Tahoma" w:cs="Tahoma"/>
        <w:b/>
        <w:sz w:val="21"/>
        <w:szCs w:val="21"/>
      </w:rPr>
    </w:pPr>
    <w:r w:rsidRPr="00DB1169">
      <w:rPr>
        <w:rFonts w:ascii="Tahoma" w:hAnsi="Tahoma" w:cs="Tahoma"/>
        <w:b/>
        <w:sz w:val="21"/>
        <w:szCs w:val="21"/>
      </w:rPr>
      <w:t xml:space="preserve">Příloha č. </w:t>
    </w:r>
    <w:r w:rsidR="00D54E56">
      <w:rPr>
        <w:rFonts w:ascii="Tahoma" w:hAnsi="Tahoma" w:cs="Tahoma"/>
        <w:b/>
        <w:sz w:val="21"/>
        <w:szCs w:val="21"/>
      </w:rPr>
      <w:t>7</w:t>
    </w:r>
    <w:r w:rsidRPr="00DB1169">
      <w:rPr>
        <w:rFonts w:ascii="Tahoma" w:hAnsi="Tahoma" w:cs="Tahoma"/>
        <w:b/>
        <w:sz w:val="21"/>
        <w:szCs w:val="21"/>
      </w:rPr>
      <w:t xml:space="preserve"> – Technická specifikace </w:t>
    </w:r>
  </w:p>
  <w:p w14:paraId="7D25EE6D" w14:textId="77777777" w:rsidR="00DB1169" w:rsidRDefault="00DB11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2613"/>
    <w:multiLevelType w:val="hybridMultilevel"/>
    <w:tmpl w:val="1014106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A4B518B"/>
    <w:multiLevelType w:val="hybridMultilevel"/>
    <w:tmpl w:val="258E2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A233B"/>
    <w:multiLevelType w:val="hybridMultilevel"/>
    <w:tmpl w:val="6C964688"/>
    <w:lvl w:ilvl="0" w:tplc="0405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78"/>
    <w:rsid w:val="000073E8"/>
    <w:rsid w:val="00017EC9"/>
    <w:rsid w:val="0008645F"/>
    <w:rsid w:val="00210C34"/>
    <w:rsid w:val="002310B1"/>
    <w:rsid w:val="00251C2E"/>
    <w:rsid w:val="002E2278"/>
    <w:rsid w:val="003307D9"/>
    <w:rsid w:val="0037194A"/>
    <w:rsid w:val="003A0792"/>
    <w:rsid w:val="003E5650"/>
    <w:rsid w:val="004079EB"/>
    <w:rsid w:val="00436209"/>
    <w:rsid w:val="00477306"/>
    <w:rsid w:val="00482180"/>
    <w:rsid w:val="004934CF"/>
    <w:rsid w:val="004F0A9F"/>
    <w:rsid w:val="0052685C"/>
    <w:rsid w:val="00560320"/>
    <w:rsid w:val="005F320E"/>
    <w:rsid w:val="00621956"/>
    <w:rsid w:val="00633C43"/>
    <w:rsid w:val="006F34CD"/>
    <w:rsid w:val="00726E1D"/>
    <w:rsid w:val="007338E9"/>
    <w:rsid w:val="007501A7"/>
    <w:rsid w:val="0075497F"/>
    <w:rsid w:val="007673B3"/>
    <w:rsid w:val="007E6F0C"/>
    <w:rsid w:val="008217E6"/>
    <w:rsid w:val="00847BF4"/>
    <w:rsid w:val="00850D15"/>
    <w:rsid w:val="00870533"/>
    <w:rsid w:val="00992F06"/>
    <w:rsid w:val="009C25E0"/>
    <w:rsid w:val="009F1BA2"/>
    <w:rsid w:val="00A776AC"/>
    <w:rsid w:val="00A953E0"/>
    <w:rsid w:val="00AE04B2"/>
    <w:rsid w:val="00AE75AA"/>
    <w:rsid w:val="00B01B10"/>
    <w:rsid w:val="00B24057"/>
    <w:rsid w:val="00C47A1D"/>
    <w:rsid w:val="00C74435"/>
    <w:rsid w:val="00CB4E88"/>
    <w:rsid w:val="00D31E5B"/>
    <w:rsid w:val="00D32D80"/>
    <w:rsid w:val="00D54E56"/>
    <w:rsid w:val="00DB1169"/>
    <w:rsid w:val="00DC2993"/>
    <w:rsid w:val="00E0769A"/>
    <w:rsid w:val="00E31392"/>
    <w:rsid w:val="00EB065D"/>
    <w:rsid w:val="00F53577"/>
    <w:rsid w:val="00F67F7A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4D49"/>
  <w15:chartTrackingRefBased/>
  <w15:docId w15:val="{8AC046E8-B90E-4AE0-ACF0-7FD803B5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169"/>
  </w:style>
  <w:style w:type="paragraph" w:styleId="Zpat">
    <w:name w:val="footer"/>
    <w:basedOn w:val="Normln"/>
    <w:link w:val="ZpatChar"/>
    <w:uiPriority w:val="99"/>
    <w:unhideWhenUsed/>
    <w:rsid w:val="00DB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169"/>
  </w:style>
  <w:style w:type="paragraph" w:styleId="Odstavecseseznamem">
    <w:name w:val="List Paragraph"/>
    <w:basedOn w:val="Normln"/>
    <w:uiPriority w:val="34"/>
    <w:qFormat/>
    <w:rsid w:val="00DB1169"/>
    <w:pPr>
      <w:ind w:left="720"/>
      <w:contextualSpacing/>
    </w:pPr>
  </w:style>
  <w:style w:type="table" w:styleId="Mkatabulky">
    <w:name w:val="Table Grid"/>
    <w:basedOn w:val="Normlntabulka"/>
    <w:uiPriority w:val="39"/>
    <w:rsid w:val="0033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1C2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28BB-98CB-47CA-971A-84683EB5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Večeřa</dc:creator>
  <cp:keywords/>
  <dc:description/>
  <cp:lastModifiedBy>Ing. Tomáš Večeřa</cp:lastModifiedBy>
  <cp:revision>10</cp:revision>
  <dcterms:created xsi:type="dcterms:W3CDTF">2025-02-27T09:38:00Z</dcterms:created>
  <dcterms:modified xsi:type="dcterms:W3CDTF">2025-06-03T05:50:00Z</dcterms:modified>
</cp:coreProperties>
</file>