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92BD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920012">
        <w:rPr>
          <w:rFonts w:ascii="Arial" w:hAnsi="Arial" w:cs="Arial"/>
          <w:sz w:val="20"/>
          <w:szCs w:val="20"/>
        </w:rPr>
        <w:t>Dagmar Horin</w:t>
      </w:r>
      <w:r w:rsidR="00E27801">
        <w:rPr>
          <w:rFonts w:ascii="Arial" w:hAnsi="Arial" w:cs="Arial"/>
          <w:sz w:val="20"/>
          <w:szCs w:val="20"/>
        </w:rPr>
        <w:t>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392BDD">
        <w:rPr>
          <w:rFonts w:ascii="Arial" w:hAnsi="Arial" w:cs="Arial"/>
          <w:sz w:val="20"/>
          <w:szCs w:val="20"/>
        </w:rPr>
        <w:t xml:space="preserve">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920012">
        <w:rPr>
          <w:rFonts w:ascii="Arial" w:hAnsi="Arial" w:cs="Arial"/>
          <w:sz w:val="20"/>
          <w:szCs w:val="20"/>
        </w:rPr>
        <w:t>tel: 558 609 172</w:t>
      </w:r>
      <w:r w:rsidRPr="009729AA">
        <w:rPr>
          <w:rFonts w:ascii="Arial" w:hAnsi="Arial" w:cs="Arial"/>
          <w:sz w:val="20"/>
          <w:szCs w:val="20"/>
        </w:rPr>
        <w:t>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20012" w:rsidRPr="008C2ABD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zastoupena… /v případě právnické osoby/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………. </w:t>
      </w:r>
      <w:proofErr w:type="gramStart"/>
      <w:r w:rsidRPr="007D454A">
        <w:rPr>
          <w:rFonts w:ascii="Arial" w:hAnsi="Arial" w:cs="Arial"/>
          <w:sz w:val="20"/>
          <w:szCs w:val="20"/>
          <w:lang w:eastAsia="cs-CZ"/>
        </w:rPr>
        <w:t>vložka</w:t>
      </w:r>
      <w:proofErr w:type="gramEnd"/>
      <w:r w:rsidRPr="007D454A">
        <w:rPr>
          <w:rFonts w:ascii="Arial" w:hAnsi="Arial" w:cs="Arial"/>
          <w:sz w:val="20"/>
          <w:szCs w:val="20"/>
          <w:lang w:eastAsia="cs-CZ"/>
        </w:rPr>
        <w:t xml:space="preserve"> …………..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20012" w:rsidRPr="00920012">
        <w:rPr>
          <w:rFonts w:ascii="Arial" w:hAnsi="Arial" w:cs="Arial"/>
          <w:b/>
          <w:sz w:val="20"/>
          <w:szCs w:val="20"/>
        </w:rPr>
        <w:t>Stavební úpravy nebytového prostoru – Zámecké náměstí č. p. 46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922AEF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</w:t>
      </w:r>
      <w:r w:rsidR="00920012">
        <w:rPr>
          <w:rFonts w:ascii="Arial" w:hAnsi="Arial" w:cs="Arial"/>
          <w:sz w:val="20"/>
          <w:szCs w:val="20"/>
        </w:rPr>
        <w:t>vestavbu sociálního zázemí v objektu na Zámeckém náměstí č. p. 46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920012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</w:t>
      </w:r>
      <w:r w:rsidR="00920012">
        <w:rPr>
          <w:rFonts w:ascii="Arial" w:hAnsi="Arial" w:cs="Arial"/>
          <w:sz w:val="20"/>
          <w:szCs w:val="20"/>
        </w:rPr>
        <w:t>spočívá ve vestavbě</w:t>
      </w:r>
      <w:r w:rsidR="00920012" w:rsidRPr="00920012">
        <w:rPr>
          <w:rFonts w:ascii="Arial" w:hAnsi="Arial" w:cs="Arial"/>
          <w:sz w:val="20"/>
          <w:szCs w:val="20"/>
        </w:rPr>
        <w:t xml:space="preserve"> sociálního zázemí v objektu na Zámeckém náměstí č. p. 46</w:t>
      </w:r>
      <w:r w:rsidR="00920012">
        <w:rPr>
          <w:rFonts w:ascii="Arial" w:hAnsi="Arial" w:cs="Arial"/>
          <w:sz w:val="20"/>
          <w:szCs w:val="20"/>
        </w:rPr>
        <w:t>,</w:t>
      </w:r>
      <w:r w:rsidR="00920012" w:rsidRPr="00920012">
        <w:rPr>
          <w:rFonts w:ascii="Arial" w:hAnsi="Arial" w:cs="Arial"/>
          <w:sz w:val="20"/>
          <w:szCs w:val="20"/>
        </w:rPr>
        <w:t xml:space="preserve"> </w:t>
      </w:r>
      <w:r w:rsidR="00920012" w:rsidRPr="00FC756C">
        <w:rPr>
          <w:rFonts w:ascii="Arial" w:hAnsi="Arial" w:cs="Arial"/>
          <w:sz w:val="20"/>
          <w:szCs w:val="20"/>
        </w:rPr>
        <w:t>to</w:t>
      </w:r>
      <w:r w:rsidR="00C475DB" w:rsidRPr="00FC756C">
        <w:rPr>
          <w:rFonts w:ascii="Arial" w:hAnsi="Arial" w:cs="Arial"/>
          <w:sz w:val="20"/>
          <w:szCs w:val="20"/>
        </w:rPr>
        <w:t xml:space="preserve">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Pr="00FC756C" w:rsidRDefault="00C475DB" w:rsidP="0092001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dle projektové dokumentace zpracované</w:t>
      </w:r>
      <w:r w:rsidR="00F637ED">
        <w:rPr>
          <w:rFonts w:ascii="Arial" w:hAnsi="Arial" w:cs="Arial"/>
          <w:sz w:val="20"/>
          <w:szCs w:val="20"/>
        </w:rPr>
        <w:t xml:space="preserve"> </w:t>
      </w:r>
      <w:r w:rsidR="00920012" w:rsidRPr="00920012">
        <w:rPr>
          <w:rFonts w:ascii="Arial" w:hAnsi="Arial" w:cs="Arial"/>
          <w:sz w:val="20"/>
          <w:szCs w:val="20"/>
        </w:rPr>
        <w:t xml:space="preserve">společností CIVIL PROJECTS s.r.o., Malý </w:t>
      </w:r>
      <w:proofErr w:type="spellStart"/>
      <w:r w:rsidR="00920012" w:rsidRPr="00920012">
        <w:rPr>
          <w:rFonts w:ascii="Arial" w:hAnsi="Arial" w:cs="Arial"/>
          <w:sz w:val="20"/>
          <w:szCs w:val="20"/>
        </w:rPr>
        <w:t>Koloredov</w:t>
      </w:r>
      <w:proofErr w:type="spellEnd"/>
      <w:r w:rsidR="00920012" w:rsidRPr="00920012">
        <w:rPr>
          <w:rFonts w:ascii="Arial" w:hAnsi="Arial" w:cs="Arial"/>
          <w:sz w:val="20"/>
          <w:szCs w:val="20"/>
        </w:rPr>
        <w:t xml:space="preserve"> 2377, 738 02 Frýdek-Místek, v 04/2019</w:t>
      </w:r>
      <w:r w:rsidR="0097570D" w:rsidRPr="00FC756C">
        <w:rPr>
          <w:rFonts w:ascii="Arial" w:hAnsi="Arial" w:cs="Arial"/>
        </w:rPr>
        <w:t xml:space="preserve"> </w:t>
      </w:r>
      <w:r w:rsidRPr="00FC756C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FC756C">
        <w:rPr>
          <w:rFonts w:ascii="Arial" w:hAnsi="Arial" w:cs="Arial"/>
          <w:sz w:val="20"/>
          <w:szCs w:val="20"/>
        </w:rPr>
        <w:t>jejíž součástí je</w:t>
      </w:r>
      <w:r w:rsidRPr="00FC756C">
        <w:rPr>
          <w:rFonts w:ascii="Arial" w:hAnsi="Arial" w:cs="Arial"/>
          <w:b/>
          <w:sz w:val="20"/>
          <w:szCs w:val="20"/>
        </w:rPr>
        <w:t xml:space="preserve"> </w:t>
      </w:r>
      <w:r w:rsidRPr="00FC756C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FC756C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8B778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</w:t>
      </w:r>
      <w:r w:rsidR="00926ACD">
        <w:rPr>
          <w:rFonts w:ascii="Arial" w:hAnsi="Arial" w:cs="Arial"/>
          <w:sz w:val="20"/>
          <w:szCs w:val="20"/>
        </w:rPr>
        <w:t>územním</w:t>
      </w:r>
      <w:r w:rsidRPr="007D454A">
        <w:rPr>
          <w:rFonts w:ascii="Arial" w:hAnsi="Arial" w:cs="Arial"/>
          <w:sz w:val="20"/>
          <w:szCs w:val="20"/>
        </w:rPr>
        <w:t xml:space="preserve">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20012">
        <w:rPr>
          <w:rFonts w:ascii="Arial" w:hAnsi="Arial" w:cs="Arial"/>
          <w:b/>
          <w:sz w:val="20"/>
          <w:szCs w:val="20"/>
          <w:lang w:eastAsia="cs-CZ"/>
        </w:rPr>
        <w:t>60</w:t>
      </w:r>
      <w:r w:rsidR="001558E8">
        <w:rPr>
          <w:rFonts w:ascii="Arial" w:hAnsi="Arial" w:cs="Arial"/>
          <w:b/>
          <w:sz w:val="20"/>
          <w:szCs w:val="20"/>
          <w:lang w:eastAsia="cs-CZ"/>
        </w:rPr>
        <w:t xml:space="preserve"> dnů </w:t>
      </w:r>
      <w:r w:rsidR="001558E8" w:rsidRPr="001558E8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22AE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Pr="00922AEF" w:rsidRDefault="004C4BFF" w:rsidP="00922AE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22AEF">
        <w:rPr>
          <w:rFonts w:ascii="Arial" w:hAnsi="Arial" w:cs="Arial"/>
          <w:sz w:val="20"/>
          <w:szCs w:val="20"/>
        </w:rPr>
        <w:t xml:space="preserve">         </w:t>
      </w:r>
    </w:p>
    <w:p w:rsidR="00AC0CB6" w:rsidRDefault="00303988" w:rsidP="008B778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5 d</w:t>
      </w:r>
      <w:r w:rsidR="00922AEF">
        <w:rPr>
          <w:rFonts w:ascii="Arial" w:hAnsi="Arial" w:cs="Arial"/>
          <w:sz w:val="20"/>
          <w:szCs w:val="20"/>
          <w:lang w:eastAsia="cs-CZ"/>
        </w:rPr>
        <w:t xml:space="preserve">nů od písemné výzvy objednatele.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284502">
        <w:rPr>
          <w:rFonts w:ascii="Arial" w:hAnsi="Arial" w:cs="Arial"/>
          <w:sz w:val="20"/>
          <w:szCs w:val="20"/>
        </w:rPr>
        <w:t>7 pracovních</w:t>
      </w:r>
      <w:r w:rsidR="00AC0CB6" w:rsidRPr="004C4BFF">
        <w:rPr>
          <w:rFonts w:ascii="Arial" w:hAnsi="Arial" w:cs="Arial"/>
          <w:sz w:val="20"/>
          <w:szCs w:val="20"/>
        </w:rPr>
        <w:t xml:space="preserve">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8B7788">
        <w:rPr>
          <w:rFonts w:ascii="Arial" w:hAnsi="Arial" w:cs="Arial"/>
          <w:sz w:val="20"/>
          <w:szCs w:val="20"/>
        </w:rPr>
        <w:t>je dům s č. p. 46 na Zámeckém náměstí ve Frýdku-Místku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5A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8B7788">
        <w:rPr>
          <w:rFonts w:ascii="Arial" w:hAnsi="Arial" w:cs="Arial"/>
          <w:sz w:val="20"/>
          <w:szCs w:val="20"/>
        </w:rPr>
        <w:t>Dagmar Horin</w:t>
      </w:r>
      <w:r w:rsidR="00E27801">
        <w:rPr>
          <w:rFonts w:ascii="Arial" w:hAnsi="Arial" w:cs="Arial"/>
          <w:sz w:val="20"/>
          <w:szCs w:val="20"/>
        </w:rPr>
        <w:t>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2C75AD">
        <w:rPr>
          <w:rFonts w:ascii="Arial" w:hAnsi="Arial" w:cs="Arial"/>
          <w:sz w:val="20"/>
          <w:szCs w:val="20"/>
        </w:rPr>
        <w:t xml:space="preserve"> oddělení správy budov</w:t>
      </w:r>
      <w:r w:rsidR="00E27801">
        <w:rPr>
          <w:rFonts w:ascii="Arial" w:hAnsi="Arial" w:cs="Arial"/>
          <w:sz w:val="20"/>
          <w:szCs w:val="20"/>
        </w:rPr>
        <w:t xml:space="preserve"> </w:t>
      </w:r>
      <w:r w:rsidR="002C75AD">
        <w:rPr>
          <w:rFonts w:ascii="Arial" w:hAnsi="Arial" w:cs="Arial"/>
          <w:sz w:val="20"/>
          <w:szCs w:val="20"/>
        </w:rPr>
        <w:t>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</w:t>
      </w:r>
      <w:r w:rsidR="008B7788">
        <w:rPr>
          <w:rFonts w:ascii="Arial" w:hAnsi="Arial" w:cs="Arial"/>
          <w:sz w:val="20"/>
          <w:szCs w:val="20"/>
        </w:rPr>
        <w:t xml:space="preserve"> 558 609 172</w:t>
      </w:r>
      <w:r w:rsidRPr="009729AA">
        <w:rPr>
          <w:rFonts w:ascii="Arial" w:hAnsi="Arial" w:cs="Arial"/>
          <w:sz w:val="20"/>
          <w:szCs w:val="20"/>
        </w:rPr>
        <w:t>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B7788" w:rsidRPr="008C2ABD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="008B7788">
        <w:rPr>
          <w:rFonts w:ascii="Arial" w:hAnsi="Arial" w:cs="Arial"/>
          <w:sz w:val="20"/>
          <w:szCs w:val="20"/>
          <w:lang w:eastAsia="cs-CZ"/>
        </w:rPr>
        <w:t>0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D136DA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 xml:space="preserve">vyhlášky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15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260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E32260" w:rsidRPr="00E32260" w:rsidRDefault="00E32260" w:rsidP="00E32260">
      <w:pPr>
        <w:pStyle w:val="Odstavecseseznamem"/>
        <w:rPr>
          <w:rFonts w:ascii="Arial" w:hAnsi="Arial" w:cs="Arial"/>
          <w:sz w:val="20"/>
          <w:szCs w:val="20"/>
        </w:rPr>
      </w:pPr>
    </w:p>
    <w:p w:rsidR="00E32260" w:rsidRPr="00E32260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2260">
        <w:rPr>
          <w:rFonts w:ascii="Arial" w:hAnsi="Arial" w:cs="Arial"/>
          <w:sz w:val="20"/>
          <w:szCs w:val="20"/>
        </w:rPr>
        <w:t>Každá vystavena faktura bude uhrazena do výše 9</w:t>
      </w:r>
      <w:r>
        <w:rPr>
          <w:rFonts w:ascii="Arial" w:hAnsi="Arial" w:cs="Arial"/>
          <w:sz w:val="20"/>
          <w:szCs w:val="20"/>
        </w:rPr>
        <w:t>0</w:t>
      </w:r>
      <w:r w:rsidRPr="00E32260">
        <w:rPr>
          <w:rFonts w:ascii="Arial" w:hAnsi="Arial" w:cs="Arial"/>
          <w:sz w:val="20"/>
          <w:szCs w:val="20"/>
        </w:rPr>
        <w:t xml:space="preserve">% fakturované částky bez </w:t>
      </w:r>
      <w:r>
        <w:rPr>
          <w:rFonts w:ascii="Arial" w:hAnsi="Arial" w:cs="Arial"/>
          <w:sz w:val="20"/>
          <w:szCs w:val="20"/>
        </w:rPr>
        <w:t xml:space="preserve">DPH + 100% DPH, zbývajících 10 </w:t>
      </w:r>
      <w:r w:rsidRPr="00E32260">
        <w:rPr>
          <w:rFonts w:ascii="Arial" w:hAnsi="Arial" w:cs="Arial"/>
          <w:sz w:val="20"/>
          <w:szCs w:val="20"/>
        </w:rPr>
        <w:t>% fakturované částky bez DPH bude držena objednatelem jako pozastávka do doby řádného dokončení a předání díla bez vad, která bude uvolněna: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E32260">
        <w:rPr>
          <w:rFonts w:ascii="Arial" w:hAnsi="Arial" w:cs="Arial"/>
          <w:sz w:val="20"/>
          <w:szCs w:val="20"/>
        </w:rPr>
        <w:t>do 15 dnů ode dne převzetí díla bez vad a nedodělků, nebo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32260">
        <w:rPr>
          <w:rFonts w:ascii="Arial" w:hAnsi="Arial" w:cs="Arial"/>
          <w:sz w:val="20"/>
          <w:szCs w:val="20"/>
        </w:rPr>
        <w:t>bude-li dílo v souladu s</w:t>
      </w:r>
      <w:r>
        <w:rPr>
          <w:rFonts w:ascii="Arial" w:hAnsi="Arial" w:cs="Arial"/>
          <w:sz w:val="20"/>
          <w:szCs w:val="20"/>
        </w:rPr>
        <w:t> touto smlouvou</w:t>
      </w:r>
      <w:r w:rsidRPr="00E32260">
        <w:rPr>
          <w:rFonts w:ascii="Arial" w:hAnsi="Arial" w:cs="Arial"/>
          <w:sz w:val="20"/>
          <w:szCs w:val="20"/>
        </w:rPr>
        <w:t xml:space="preserve"> převzato objednatelem s vadami a nedodělky nebránícími řádnému užívání díla (převzetí s výhradami), budou pozastávky zhotoviteli uvolněny do 15 dnů ode dne odstranění všech těchto vad a nedodělků;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</w:t>
      </w:r>
      <w:r w:rsidRPr="007D454A">
        <w:rPr>
          <w:rFonts w:ascii="Arial" w:hAnsi="Arial" w:cs="Arial"/>
          <w:snapToGrid w:val="0"/>
          <w:sz w:val="20"/>
          <w:szCs w:val="20"/>
        </w:rPr>
        <w:lastRenderedPageBreak/>
        <w:t>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Dodatečné práce mohou být účtovány samostatnou fakturou vždy až po uzavření dodatku k této smlouvě; pro fakturaci platí ujednání o platebních podmínkách.</w:t>
      </w: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A25027">
        <w:rPr>
          <w:rFonts w:ascii="Arial" w:hAnsi="Arial" w:cs="Arial"/>
          <w:sz w:val="20"/>
          <w:szCs w:val="20"/>
          <w:lang w:eastAsia="cs-CZ"/>
        </w:rPr>
        <w:t>-----</w:t>
      </w:r>
    </w:p>
    <w:p w:rsidR="00D46A49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EB398D" w:rsidRPr="007D454A" w:rsidRDefault="00EB398D" w:rsidP="00EB3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B398D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EB398D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BE2264">
        <w:rPr>
          <w:rFonts w:ascii="Arial" w:hAnsi="Arial" w:cs="Arial"/>
          <w:sz w:val="20"/>
          <w:szCs w:val="20"/>
        </w:rPr>
        <w:t>…</w:t>
      </w:r>
      <w:r w:rsidR="00697B4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D454A">
        <w:rPr>
          <w:rFonts w:ascii="Arial" w:hAnsi="Arial" w:cs="Arial"/>
          <w:sz w:val="20"/>
          <w:szCs w:val="20"/>
        </w:rPr>
        <w:t>schůze</w:t>
      </w:r>
      <w:proofErr w:type="gramEnd"/>
      <w:r w:rsidRPr="007D454A">
        <w:rPr>
          <w:rFonts w:ascii="Arial" w:hAnsi="Arial" w:cs="Arial"/>
          <w:sz w:val="20"/>
          <w:szCs w:val="20"/>
        </w:rPr>
        <w:t xml:space="preserve">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E2264">
        <w:rPr>
          <w:rFonts w:ascii="Arial" w:hAnsi="Arial" w:cs="Arial"/>
          <w:sz w:val="20"/>
          <w:szCs w:val="20"/>
        </w:rPr>
        <w:t>……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96B39">
        <w:rPr>
          <w:rFonts w:ascii="Arial" w:hAnsi="Arial" w:cs="Arial"/>
          <w:sz w:val="20"/>
          <w:szCs w:val="20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C729D4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www.frydekmistek.cz</w:t>
        </w:r>
      </w:hyperlink>
      <w:r w:rsidRPr="00D96B39">
        <w:rPr>
          <w:rFonts w:ascii="Arial" w:hAnsi="Arial" w:cs="Arial"/>
          <w:sz w:val="20"/>
          <w:szCs w:val="20"/>
          <w:lang w:eastAsia="cs-CZ"/>
        </w:rPr>
        <w:t>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0FD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D96B39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96B39" w:rsidRPr="00777B7D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8817B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………………, dne</w:t>
      </w:r>
    </w:p>
    <w:p w:rsidR="00697B47" w:rsidRDefault="00697B47" w:rsidP="00697B47"/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bookmarkStart w:id="0" w:name="_GoBack"/>
      <w:bookmarkEnd w:id="0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10" w:rsidRDefault="002C2E10" w:rsidP="007B6CB8">
      <w:pPr>
        <w:spacing w:after="0" w:line="240" w:lineRule="auto"/>
      </w:pPr>
      <w:r>
        <w:separator/>
      </w:r>
    </w:p>
  </w:endnote>
  <w:endnote w:type="continuationSeparator" w:id="0">
    <w:p w:rsidR="002C2E10" w:rsidRDefault="002C2E1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8" w:rsidRPr="00FF2D32" w:rsidRDefault="008B7788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B7788" w:rsidRDefault="008B7788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B7788" w:rsidRDefault="008B7788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59137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59137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B7788" w:rsidRPr="00D92E8E" w:rsidRDefault="008B7788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10" w:rsidRDefault="002C2E10" w:rsidP="007B6CB8">
      <w:pPr>
        <w:spacing w:after="0" w:line="240" w:lineRule="auto"/>
      </w:pPr>
      <w:r>
        <w:separator/>
      </w:r>
    </w:p>
  </w:footnote>
  <w:footnote w:type="continuationSeparator" w:id="0">
    <w:p w:rsidR="002C2E10" w:rsidRDefault="002C2E10" w:rsidP="007B6CB8">
      <w:pPr>
        <w:spacing w:after="0" w:line="240" w:lineRule="auto"/>
      </w:pPr>
      <w:r>
        <w:continuationSeparator/>
      </w:r>
    </w:p>
  </w:footnote>
  <w:footnote w:id="1">
    <w:p w:rsidR="008B7788" w:rsidRPr="00C81774" w:rsidRDefault="008B7788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8" w:rsidRDefault="008B7788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P19V00000091</w:t>
    </w:r>
  </w:p>
  <w:p w:rsidR="008B7788" w:rsidRDefault="008B7788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920012">
      <w:rPr>
        <w:rFonts w:ascii="Arial" w:hAnsi="Arial" w:cs="Arial"/>
        <w:bCs/>
        <w:i/>
        <w:sz w:val="16"/>
        <w:szCs w:val="16"/>
        <w:lang w:eastAsia="en-US"/>
      </w:rPr>
      <w:t>Stavební úpravy nebytového prostoru – Zámecké náměstí č. p. 46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B7788" w:rsidRDefault="008B7788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84502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2E10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37C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B7788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0012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n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BA1A-296F-4ED7-92F5-0925268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6490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24</cp:revision>
  <cp:lastPrinted>2017-05-22T14:39:00Z</cp:lastPrinted>
  <dcterms:created xsi:type="dcterms:W3CDTF">2018-06-26T07:54:00Z</dcterms:created>
  <dcterms:modified xsi:type="dcterms:W3CDTF">2019-06-26T05:57:00Z</dcterms:modified>
</cp:coreProperties>
</file>