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DE7" w:rsidRPr="009D1596" w:rsidRDefault="00431DE7" w:rsidP="00431DE7">
      <w:pPr>
        <w:pStyle w:val="Nzev"/>
        <w:rPr>
          <w:rFonts w:ascii="Arial" w:hAnsi="Arial" w:cs="Arial"/>
          <w:bCs w:val="0"/>
        </w:rPr>
      </w:pPr>
      <w:r w:rsidRPr="009D1596">
        <w:rPr>
          <w:rFonts w:ascii="Arial" w:hAnsi="Arial" w:cs="Arial"/>
          <w:bCs w:val="0"/>
        </w:rPr>
        <w:t>PROTOKOL O URČENÍ VNĚJŠÍCH VLIVŮ</w:t>
      </w:r>
    </w:p>
    <w:p w:rsidR="00431DE7" w:rsidRPr="009D1596" w:rsidRDefault="005F3FA5" w:rsidP="00431DE7">
      <w:pPr>
        <w:pStyle w:val="Nzev"/>
        <w:rPr>
          <w:rFonts w:ascii="Arial" w:hAnsi="Arial" w:cs="Arial"/>
          <w:bCs w:val="0"/>
        </w:rPr>
      </w:pPr>
      <w:r>
        <w:rPr>
          <w:rFonts w:ascii="Arial" w:hAnsi="Arial" w:cs="Arial"/>
          <w:bCs w:val="0"/>
          <w:sz w:val="20"/>
          <w:szCs w:val="20"/>
        </w:rPr>
        <w:t>ST_PP</w:t>
      </w:r>
      <w:r w:rsidR="00431DE7" w:rsidRPr="009D1596">
        <w:rPr>
          <w:rFonts w:ascii="Arial" w:hAnsi="Arial" w:cs="Arial"/>
          <w:bCs w:val="0"/>
          <w:sz w:val="20"/>
          <w:szCs w:val="20"/>
        </w:rPr>
        <w:t>_1</w:t>
      </w:r>
      <w:r w:rsidR="00F3377F">
        <w:rPr>
          <w:rFonts w:ascii="Arial" w:hAnsi="Arial" w:cs="Arial"/>
          <w:bCs w:val="0"/>
          <w:sz w:val="20"/>
          <w:szCs w:val="20"/>
        </w:rPr>
        <w:t>60629</w:t>
      </w:r>
      <w:r w:rsidR="00431DE7" w:rsidRPr="009D1596">
        <w:rPr>
          <w:rFonts w:ascii="Arial" w:hAnsi="Arial" w:cs="Arial"/>
          <w:bCs w:val="0"/>
        </w:rPr>
        <w:t xml:space="preserve">  </w:t>
      </w:r>
    </w:p>
    <w:p w:rsidR="00431DE7" w:rsidRPr="009D1596" w:rsidRDefault="00431DE7" w:rsidP="00431DE7">
      <w:pPr>
        <w:rPr>
          <w:rFonts w:ascii="Arial" w:hAnsi="Arial" w:cs="Arial"/>
        </w:rPr>
      </w:pPr>
    </w:p>
    <w:p w:rsidR="00431DE7" w:rsidRPr="009D1596" w:rsidRDefault="00431DE7" w:rsidP="00431DE7">
      <w:pPr>
        <w:rPr>
          <w:rFonts w:ascii="Arial" w:hAnsi="Arial" w:cs="Arial"/>
        </w:rPr>
      </w:pPr>
    </w:p>
    <w:p w:rsidR="00D2624C" w:rsidRDefault="00D2624C" w:rsidP="00431DE7">
      <w:pPr>
        <w:rPr>
          <w:rFonts w:ascii="Arial" w:hAnsi="Arial" w:cs="Arial"/>
          <w:b/>
        </w:rPr>
      </w:pPr>
    </w:p>
    <w:p w:rsidR="00431DE7" w:rsidRPr="009D1596" w:rsidRDefault="00431DE7" w:rsidP="00431DE7">
      <w:pPr>
        <w:rPr>
          <w:rFonts w:ascii="Arial" w:hAnsi="Arial" w:cs="Arial"/>
        </w:rPr>
      </w:pPr>
      <w:r w:rsidRPr="00D2624C">
        <w:rPr>
          <w:rFonts w:ascii="Arial" w:hAnsi="Arial" w:cs="Arial"/>
          <w:b/>
        </w:rPr>
        <w:t>Projektant:</w:t>
      </w:r>
      <w:r w:rsidRPr="009D1596">
        <w:rPr>
          <w:rFonts w:ascii="Arial" w:hAnsi="Arial" w:cs="Arial"/>
        </w:rPr>
        <w:tab/>
      </w:r>
      <w:r w:rsidRPr="009D1596">
        <w:rPr>
          <w:rFonts w:ascii="Arial" w:hAnsi="Arial" w:cs="Arial"/>
        </w:rPr>
        <w:tab/>
      </w:r>
      <w:r w:rsidR="00103FB2">
        <w:rPr>
          <w:rFonts w:ascii="Arial" w:hAnsi="Arial" w:cs="Arial"/>
        </w:rPr>
        <w:t>Ing. Martin Štefek</w:t>
      </w:r>
    </w:p>
    <w:p w:rsidR="00431DE7" w:rsidRPr="009D1596" w:rsidRDefault="00431DE7" w:rsidP="00431DE7">
      <w:pPr>
        <w:rPr>
          <w:rFonts w:ascii="Arial" w:hAnsi="Arial" w:cs="Arial"/>
        </w:rPr>
      </w:pPr>
    </w:p>
    <w:p w:rsidR="00172065" w:rsidRPr="00172065" w:rsidRDefault="00431DE7" w:rsidP="00172065">
      <w:pPr>
        <w:rPr>
          <w:rFonts w:ascii="Arial" w:hAnsi="Arial" w:cs="Arial"/>
        </w:rPr>
      </w:pPr>
      <w:r w:rsidRPr="009D1596">
        <w:rPr>
          <w:rFonts w:ascii="Arial" w:hAnsi="Arial" w:cs="Arial"/>
          <w:b/>
          <w:bCs/>
        </w:rPr>
        <w:t>Název objektu:</w:t>
      </w:r>
      <w:r>
        <w:rPr>
          <w:rFonts w:ascii="Arial" w:hAnsi="Arial" w:cs="Arial"/>
          <w:b/>
          <w:bCs/>
        </w:rPr>
        <w:tab/>
      </w:r>
      <w:r w:rsidRPr="009D1596">
        <w:rPr>
          <w:rFonts w:ascii="Arial" w:hAnsi="Arial" w:cs="Arial"/>
          <w:b/>
          <w:bCs/>
        </w:rPr>
        <w:tab/>
      </w:r>
      <w:r w:rsidR="00172065" w:rsidRPr="00172065">
        <w:rPr>
          <w:rFonts w:ascii="Arial" w:hAnsi="Arial" w:cs="Arial"/>
        </w:rPr>
        <w:t>Revitalizace objektu technického zázemí B3 a spojovacího krčku</w:t>
      </w:r>
    </w:p>
    <w:p w:rsidR="00601831" w:rsidRDefault="00172065" w:rsidP="00172065">
      <w:pPr>
        <w:ind w:left="1416" w:firstLine="708"/>
        <w:rPr>
          <w:rFonts w:ascii="Arial" w:hAnsi="Arial" w:cs="Arial"/>
        </w:rPr>
      </w:pPr>
      <w:r w:rsidRPr="00172065">
        <w:rPr>
          <w:rFonts w:ascii="Arial" w:hAnsi="Arial" w:cs="Arial"/>
        </w:rPr>
        <w:t>Penzion pro seniory, ul. Lískovecká 86</w:t>
      </w:r>
      <w:r w:rsidR="006C5122">
        <w:rPr>
          <w:rFonts w:ascii="Arial" w:hAnsi="Arial" w:cs="Arial"/>
        </w:rPr>
        <w:t>, Frýdek Místek</w:t>
      </w:r>
      <w:bookmarkStart w:id="0" w:name="_GoBack"/>
      <w:bookmarkEnd w:id="0"/>
    </w:p>
    <w:p w:rsidR="00172065" w:rsidRDefault="00172065" w:rsidP="00172065">
      <w:pPr>
        <w:ind w:left="1416" w:firstLine="708"/>
        <w:rPr>
          <w:rFonts w:ascii="Arial" w:hAnsi="Arial" w:cs="Arial"/>
        </w:rPr>
      </w:pPr>
    </w:p>
    <w:p w:rsidR="00601831" w:rsidRDefault="00D2624C" w:rsidP="00D262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Investor</w:t>
      </w:r>
      <w:r w:rsidRPr="00D2624C">
        <w:rPr>
          <w:rFonts w:ascii="Arial" w:hAnsi="Arial" w:cs="Arial"/>
          <w:b/>
          <w:bCs/>
        </w:rPr>
        <w:t>:</w:t>
      </w:r>
      <w:r w:rsidRPr="00D2624C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72065" w:rsidRPr="00172065">
        <w:rPr>
          <w:rFonts w:ascii="Arial" w:hAnsi="Arial" w:cs="Arial"/>
        </w:rPr>
        <w:t>Statutární město Frýdek-Místek</w:t>
      </w:r>
      <w:r w:rsidRPr="00D2624C">
        <w:rPr>
          <w:rFonts w:ascii="Arial" w:hAnsi="Arial" w:cs="Arial"/>
        </w:rPr>
        <w:t xml:space="preserve">, </w:t>
      </w:r>
    </w:p>
    <w:p w:rsidR="00103FB2" w:rsidRDefault="00172065" w:rsidP="00103FB2">
      <w:pPr>
        <w:ind w:left="1416" w:firstLine="708"/>
        <w:jc w:val="both"/>
        <w:rPr>
          <w:rFonts w:ascii="Arial" w:hAnsi="Arial" w:cs="Arial"/>
        </w:rPr>
      </w:pPr>
      <w:r w:rsidRPr="00172065">
        <w:rPr>
          <w:rFonts w:ascii="Arial" w:hAnsi="Arial" w:cs="Arial"/>
        </w:rPr>
        <w:t>Radniční 1148, 738 01 Frýdek-Místek</w:t>
      </w:r>
    </w:p>
    <w:p w:rsidR="00172065" w:rsidRDefault="00172065" w:rsidP="00103FB2">
      <w:pPr>
        <w:ind w:left="1416" w:firstLine="708"/>
        <w:jc w:val="both"/>
        <w:rPr>
          <w:rFonts w:ascii="Arial" w:hAnsi="Arial" w:cs="Arial"/>
        </w:rPr>
      </w:pPr>
    </w:p>
    <w:p w:rsidR="00103FB2" w:rsidRDefault="00103FB2" w:rsidP="00103FB2">
      <w:pPr>
        <w:ind w:left="1416" w:firstLine="708"/>
        <w:jc w:val="both"/>
        <w:rPr>
          <w:rFonts w:ascii="Arial" w:hAnsi="Arial" w:cs="Arial"/>
          <w:b/>
          <w:bCs/>
        </w:rPr>
      </w:pPr>
    </w:p>
    <w:p w:rsidR="009F3E82" w:rsidRDefault="009F3E82" w:rsidP="00431DE7">
      <w:pPr>
        <w:jc w:val="both"/>
        <w:rPr>
          <w:rFonts w:ascii="Arial" w:hAnsi="Arial" w:cs="Arial"/>
          <w:b/>
          <w:bCs/>
        </w:rPr>
      </w:pPr>
    </w:p>
    <w:p w:rsidR="00431DE7" w:rsidRPr="009D1596" w:rsidRDefault="00431DE7" w:rsidP="00431DE7">
      <w:pPr>
        <w:jc w:val="both"/>
        <w:rPr>
          <w:rFonts w:ascii="Arial" w:hAnsi="Arial" w:cs="Arial"/>
          <w:b/>
          <w:bCs/>
        </w:rPr>
      </w:pPr>
      <w:r w:rsidRPr="009D1596">
        <w:rPr>
          <w:rFonts w:ascii="Arial" w:hAnsi="Arial" w:cs="Arial"/>
          <w:b/>
          <w:bCs/>
        </w:rPr>
        <w:t>Podklady použité pro vypracování protokolu:</w:t>
      </w:r>
    </w:p>
    <w:p w:rsidR="00431DE7" w:rsidRPr="009D1596" w:rsidRDefault="00431DE7" w:rsidP="00431DE7">
      <w:pPr>
        <w:jc w:val="both"/>
        <w:rPr>
          <w:rFonts w:ascii="Arial" w:hAnsi="Arial" w:cs="Arial"/>
          <w:b/>
          <w:bCs/>
        </w:rPr>
      </w:pPr>
      <w:r w:rsidRPr="009D1596">
        <w:rPr>
          <w:rFonts w:ascii="Arial" w:hAnsi="Arial" w:cs="Arial"/>
        </w:rPr>
        <w:t>Předpis pro určování vnějších vlivů dle ČSN 33 2000-1 ED. 2, ČSN</w:t>
      </w:r>
      <w:r w:rsidRPr="009D1596">
        <w:rPr>
          <w:rFonts w:ascii="Arial" w:hAnsi="Arial" w:cs="Arial"/>
          <w:bCs/>
        </w:rPr>
        <w:t xml:space="preserve"> 33 2000-5-51 ED. </w:t>
      </w:r>
      <w:smartTag w:uri="urn:schemas-microsoft-com:office:smarttags" w:element="metricconverter">
        <w:smartTagPr>
          <w:attr w:name="ProductID" w:val="3 a"/>
        </w:smartTagPr>
        <w:r w:rsidRPr="009D1596">
          <w:rPr>
            <w:rFonts w:ascii="Arial" w:hAnsi="Arial" w:cs="Arial"/>
            <w:bCs/>
          </w:rPr>
          <w:t>3 a</w:t>
        </w:r>
      </w:smartTag>
      <w:r w:rsidRPr="009D1596">
        <w:rPr>
          <w:rFonts w:ascii="Arial" w:hAnsi="Arial" w:cs="Arial"/>
          <w:bCs/>
        </w:rPr>
        <w:t xml:space="preserve"> tabulkou</w:t>
      </w:r>
      <w:r w:rsidRPr="009D1596">
        <w:rPr>
          <w:rFonts w:ascii="Arial" w:hAnsi="Arial" w:cs="Arial"/>
        </w:rPr>
        <w:t xml:space="preserve"> vnějších vlivů, stavební dokumentace, prohlídka na místě. </w:t>
      </w:r>
    </w:p>
    <w:p w:rsidR="00431DE7" w:rsidRPr="009D1596" w:rsidRDefault="00431DE7" w:rsidP="00431DE7">
      <w:pPr>
        <w:rPr>
          <w:rFonts w:ascii="Arial" w:hAnsi="Arial" w:cs="Arial"/>
          <w:b/>
          <w:bCs/>
        </w:rPr>
      </w:pPr>
    </w:p>
    <w:p w:rsidR="00431DE7" w:rsidRPr="009D1596" w:rsidRDefault="00431DE7" w:rsidP="00431DE7">
      <w:pPr>
        <w:rPr>
          <w:rFonts w:ascii="Arial" w:hAnsi="Arial" w:cs="Arial"/>
          <w:b/>
          <w:bCs/>
        </w:rPr>
      </w:pPr>
      <w:r w:rsidRPr="009D1596">
        <w:rPr>
          <w:rFonts w:ascii="Arial" w:hAnsi="Arial" w:cs="Arial"/>
          <w:b/>
          <w:bCs/>
        </w:rPr>
        <w:t>Popis objektu:</w:t>
      </w:r>
    </w:p>
    <w:p w:rsidR="00431DE7" w:rsidRPr="001C7218" w:rsidRDefault="00431DE7" w:rsidP="002F62FE">
      <w:pPr>
        <w:jc w:val="both"/>
        <w:rPr>
          <w:rFonts w:ascii="Tahoma" w:hAnsi="Tahoma" w:cs="Tahoma"/>
        </w:rPr>
      </w:pPr>
      <w:r w:rsidRPr="001C7218">
        <w:rPr>
          <w:rFonts w:ascii="Tahoma" w:hAnsi="Tahoma" w:cs="Tahoma"/>
        </w:rPr>
        <w:t xml:space="preserve">Jedná se o </w:t>
      </w:r>
      <w:r>
        <w:rPr>
          <w:rFonts w:ascii="Tahoma" w:hAnsi="Tahoma" w:cs="Tahoma"/>
        </w:rPr>
        <w:t>zděnou stavbu</w:t>
      </w:r>
      <w:r w:rsidR="002F62FE">
        <w:rPr>
          <w:rFonts w:ascii="Tahoma" w:hAnsi="Tahoma" w:cs="Tahoma"/>
        </w:rPr>
        <w:t xml:space="preserve"> </w:t>
      </w:r>
      <w:r w:rsidR="00172065">
        <w:rPr>
          <w:rFonts w:ascii="Tahoma" w:hAnsi="Tahoma" w:cs="Tahoma"/>
        </w:rPr>
        <w:t>sloužící jako penzion pro seniory</w:t>
      </w:r>
      <w:r>
        <w:rPr>
          <w:rFonts w:ascii="Tahoma" w:hAnsi="Tahoma" w:cs="Tahoma"/>
        </w:rPr>
        <w:t xml:space="preserve">. Okolní zástavba je zhruba stejně vysoká a není moc hustá. Na střeše objektu nejsou </w:t>
      </w:r>
      <w:r w:rsidR="00172065">
        <w:rPr>
          <w:rFonts w:ascii="Tahoma" w:hAnsi="Tahoma" w:cs="Tahoma"/>
        </w:rPr>
        <w:t xml:space="preserve">mimo světlíků </w:t>
      </w:r>
      <w:r>
        <w:rPr>
          <w:rFonts w:ascii="Tahoma" w:hAnsi="Tahoma" w:cs="Tahoma"/>
        </w:rPr>
        <w:t>umístěny žádné předměty.</w:t>
      </w:r>
      <w:r w:rsidRPr="001C7218">
        <w:rPr>
          <w:rFonts w:ascii="Tahoma" w:hAnsi="Tahoma" w:cs="Tahoma"/>
        </w:rPr>
        <w:t xml:space="preserve"> </w:t>
      </w:r>
    </w:p>
    <w:p w:rsidR="00431DE7" w:rsidRPr="009D1596" w:rsidRDefault="00431DE7" w:rsidP="00431DE7">
      <w:pPr>
        <w:rPr>
          <w:rFonts w:ascii="Arial" w:hAnsi="Arial" w:cs="Arial"/>
        </w:rPr>
      </w:pPr>
    </w:p>
    <w:p w:rsidR="00431DE7" w:rsidRPr="009D1596" w:rsidRDefault="00431DE7" w:rsidP="00431DE7">
      <w:pPr>
        <w:rPr>
          <w:rFonts w:ascii="Arial" w:hAnsi="Arial" w:cs="Arial"/>
        </w:rPr>
      </w:pPr>
      <w:r w:rsidRPr="009D1596">
        <w:rPr>
          <w:rFonts w:ascii="Arial" w:hAnsi="Arial" w:cs="Arial"/>
          <w:b/>
          <w:bCs/>
        </w:rPr>
        <w:t>Rozhodnutí:</w:t>
      </w:r>
      <w:r w:rsidRPr="009D1596">
        <w:rPr>
          <w:rFonts w:ascii="Arial" w:hAnsi="Arial" w:cs="Arial"/>
        </w:rPr>
        <w:t xml:space="preserve"> </w:t>
      </w:r>
    </w:p>
    <w:p w:rsidR="00431DE7" w:rsidRPr="009D1596" w:rsidRDefault="00431DE7" w:rsidP="00431DE7">
      <w:pPr>
        <w:pStyle w:val="Zkladntext"/>
        <w:rPr>
          <w:rFonts w:ascii="Arial" w:hAnsi="Arial" w:cs="Arial"/>
          <w:b/>
          <w:bCs/>
        </w:rPr>
      </w:pPr>
      <w:r w:rsidRPr="009D1596">
        <w:rPr>
          <w:rFonts w:ascii="Arial" w:hAnsi="Arial" w:cs="Arial"/>
        </w:rPr>
        <w:t>V souladu s ČSN 33 2000-1 ED. 2, ČSN</w:t>
      </w:r>
      <w:r w:rsidRPr="009D1596">
        <w:rPr>
          <w:rFonts w:ascii="Arial" w:hAnsi="Arial" w:cs="Arial"/>
          <w:bCs/>
        </w:rPr>
        <w:t xml:space="preserve"> 33 2000-5-51 ED. </w:t>
      </w:r>
      <w:smartTag w:uri="urn:schemas-microsoft-com:office:smarttags" w:element="metricconverter">
        <w:smartTagPr>
          <w:attr w:name="ProductID" w:val="3 a"/>
        </w:smartTagPr>
        <w:r w:rsidRPr="009D1596">
          <w:rPr>
            <w:rFonts w:ascii="Arial" w:hAnsi="Arial" w:cs="Arial"/>
            <w:bCs/>
          </w:rPr>
          <w:t>3 a</w:t>
        </w:r>
      </w:smartTag>
      <w:r w:rsidRPr="009D1596">
        <w:rPr>
          <w:rFonts w:ascii="Arial" w:hAnsi="Arial" w:cs="Arial"/>
          <w:bCs/>
        </w:rPr>
        <w:t xml:space="preserve"> předpisem</w:t>
      </w:r>
      <w:r w:rsidRPr="009D1596">
        <w:rPr>
          <w:rFonts w:ascii="Arial" w:hAnsi="Arial" w:cs="Arial"/>
        </w:rPr>
        <w:t xml:space="preserve"> pro určování vnějších vlivů jsou z hlediska nebezpečí úrazu elektrickým proudem jednotlivé prostory určeny takto:</w:t>
      </w:r>
    </w:p>
    <w:p w:rsidR="00431DE7" w:rsidRPr="009D1596" w:rsidRDefault="00431DE7" w:rsidP="00431DE7">
      <w:pPr>
        <w:rPr>
          <w:rFonts w:ascii="Arial" w:hAnsi="Arial" w:cs="Arial"/>
        </w:rPr>
      </w:pPr>
    </w:p>
    <w:p w:rsidR="00431DE7" w:rsidRPr="009D1596" w:rsidRDefault="00431DE7" w:rsidP="00431DE7">
      <w:pPr>
        <w:jc w:val="both"/>
        <w:rPr>
          <w:rFonts w:ascii="Arial" w:hAnsi="Arial" w:cs="Arial"/>
        </w:rPr>
      </w:pPr>
      <w:r w:rsidRPr="009D1596">
        <w:rPr>
          <w:rFonts w:ascii="Arial" w:hAnsi="Arial" w:cs="Arial"/>
          <w:b/>
          <w:bCs/>
        </w:rPr>
        <w:t xml:space="preserve">1) </w:t>
      </w:r>
      <w:r>
        <w:rPr>
          <w:rFonts w:ascii="Tahoma" w:hAnsi="Tahoma" w:cs="Tahoma"/>
          <w:b/>
          <w:bCs/>
        </w:rPr>
        <w:t>JÍMACÍ SOUSTAVA</w:t>
      </w:r>
      <w:r w:rsidRPr="009D1596">
        <w:rPr>
          <w:rFonts w:ascii="Arial" w:hAnsi="Arial" w:cs="Arial"/>
        </w:rPr>
        <w:t xml:space="preserve">  -  Vnější vlivy odpovídají ZA1.</w:t>
      </w:r>
      <w:r>
        <w:rPr>
          <w:rFonts w:ascii="Arial" w:hAnsi="Arial" w:cs="Arial"/>
        </w:rPr>
        <w:t>3</w:t>
      </w:r>
      <w:r w:rsidRPr="009D1596">
        <w:rPr>
          <w:rFonts w:ascii="Arial" w:hAnsi="Arial" w:cs="Arial"/>
        </w:rPr>
        <w:t>. Elektrická zařízení musí být vybrána a instalována v souladu s požadavky tabulky ZA 1.</w:t>
      </w:r>
      <w:r>
        <w:rPr>
          <w:rFonts w:ascii="Arial" w:hAnsi="Arial" w:cs="Arial"/>
        </w:rPr>
        <w:t>3</w:t>
      </w:r>
      <w:r w:rsidRPr="009D1596">
        <w:rPr>
          <w:rFonts w:ascii="Arial" w:hAnsi="Arial" w:cs="Arial"/>
        </w:rPr>
        <w:t>, která udává nutné charakteristiky zařízení, požadované pro jeho výběr a instalaci, s ohledem na vnější vlivy, jimž zařízení může být vystaveno.</w:t>
      </w:r>
    </w:p>
    <w:p w:rsidR="00BE37F8" w:rsidRDefault="00BE37F8" w:rsidP="00431DE7">
      <w:pPr>
        <w:jc w:val="both"/>
        <w:rPr>
          <w:rFonts w:ascii="Arial" w:hAnsi="Arial" w:cs="Arial"/>
          <w:b/>
          <w:bCs/>
        </w:rPr>
      </w:pPr>
    </w:p>
    <w:p w:rsidR="00431DE7" w:rsidRPr="009D1596" w:rsidRDefault="00431DE7" w:rsidP="00431DE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</w:t>
      </w:r>
      <w:r w:rsidRPr="009D1596">
        <w:rPr>
          <w:rFonts w:ascii="Arial" w:hAnsi="Arial" w:cs="Arial"/>
          <w:b/>
          <w:bCs/>
        </w:rPr>
        <w:t xml:space="preserve">) </w:t>
      </w:r>
      <w:r>
        <w:rPr>
          <w:rFonts w:ascii="Tahoma" w:hAnsi="Tahoma" w:cs="Tahoma"/>
          <w:b/>
          <w:bCs/>
        </w:rPr>
        <w:t>SVODY, ZEMNÍCÍ SOUSTAVA</w:t>
      </w:r>
      <w:r w:rsidRPr="009D1596">
        <w:rPr>
          <w:rFonts w:ascii="Arial" w:hAnsi="Arial" w:cs="Arial"/>
        </w:rPr>
        <w:t xml:space="preserve">  -  Vnější vlivy odpovídají ZA1.</w:t>
      </w:r>
      <w:r>
        <w:rPr>
          <w:rFonts w:ascii="Arial" w:hAnsi="Arial" w:cs="Arial"/>
        </w:rPr>
        <w:t>3</w:t>
      </w:r>
      <w:r w:rsidRPr="009D1596">
        <w:rPr>
          <w:rFonts w:ascii="Arial" w:hAnsi="Arial" w:cs="Arial"/>
        </w:rPr>
        <w:t>. Elektrická zařízení musí být vybrána a instalována v souladu s požadavky tabulky ZA 1.</w:t>
      </w:r>
      <w:r>
        <w:rPr>
          <w:rFonts w:ascii="Arial" w:hAnsi="Arial" w:cs="Arial"/>
        </w:rPr>
        <w:t>3</w:t>
      </w:r>
      <w:r w:rsidRPr="009D1596">
        <w:rPr>
          <w:rFonts w:ascii="Arial" w:hAnsi="Arial" w:cs="Arial"/>
        </w:rPr>
        <w:t>, která udává nutné charakteristiky zařízení, požadované pro jeho výběr a instalaci, s ohledem na vnější vlivy, jimž zařízení může být vystaveno.</w:t>
      </w:r>
    </w:p>
    <w:p w:rsidR="00431DE7" w:rsidRDefault="00431DE7" w:rsidP="00431DE7">
      <w:pPr>
        <w:jc w:val="both"/>
        <w:rPr>
          <w:rFonts w:ascii="Arial" w:hAnsi="Arial" w:cs="Arial"/>
        </w:rPr>
      </w:pPr>
    </w:p>
    <w:p w:rsidR="00431DE7" w:rsidRDefault="00431DE7" w:rsidP="00431DE7">
      <w:pPr>
        <w:jc w:val="both"/>
        <w:rPr>
          <w:rFonts w:ascii="Arial" w:hAnsi="Arial" w:cs="Arial"/>
        </w:rPr>
      </w:pPr>
    </w:p>
    <w:p w:rsidR="00431DE7" w:rsidRDefault="00431DE7" w:rsidP="00431DE7">
      <w:pPr>
        <w:jc w:val="both"/>
        <w:rPr>
          <w:rFonts w:ascii="Arial" w:hAnsi="Arial" w:cs="Arial"/>
        </w:rPr>
      </w:pPr>
    </w:p>
    <w:p w:rsidR="00431DE7" w:rsidRDefault="00431DE7" w:rsidP="00431DE7">
      <w:pPr>
        <w:jc w:val="both"/>
        <w:rPr>
          <w:rFonts w:ascii="Arial" w:hAnsi="Arial" w:cs="Arial"/>
        </w:rPr>
      </w:pPr>
    </w:p>
    <w:p w:rsidR="00586796" w:rsidRDefault="00586796" w:rsidP="00431DE7">
      <w:pPr>
        <w:jc w:val="both"/>
        <w:rPr>
          <w:rFonts w:ascii="Arial" w:hAnsi="Arial" w:cs="Arial"/>
        </w:rPr>
      </w:pPr>
    </w:p>
    <w:p w:rsidR="00586796" w:rsidRDefault="00586796" w:rsidP="00431DE7">
      <w:pPr>
        <w:jc w:val="both"/>
        <w:rPr>
          <w:rFonts w:ascii="Arial" w:hAnsi="Arial" w:cs="Arial"/>
        </w:rPr>
      </w:pPr>
    </w:p>
    <w:p w:rsidR="00586796" w:rsidRDefault="00586796" w:rsidP="00431DE7">
      <w:pPr>
        <w:jc w:val="both"/>
        <w:rPr>
          <w:rFonts w:ascii="Arial" w:hAnsi="Arial" w:cs="Arial"/>
        </w:rPr>
      </w:pPr>
    </w:p>
    <w:p w:rsidR="00586796" w:rsidRDefault="00586796" w:rsidP="00431DE7">
      <w:pPr>
        <w:jc w:val="both"/>
        <w:rPr>
          <w:rFonts w:ascii="Arial" w:hAnsi="Arial" w:cs="Arial"/>
        </w:rPr>
      </w:pPr>
    </w:p>
    <w:p w:rsidR="00586796" w:rsidRDefault="00586796" w:rsidP="00431DE7">
      <w:pPr>
        <w:jc w:val="both"/>
        <w:rPr>
          <w:rFonts w:ascii="Arial" w:hAnsi="Arial" w:cs="Arial"/>
        </w:rPr>
      </w:pPr>
    </w:p>
    <w:p w:rsidR="00586796" w:rsidRDefault="00586796" w:rsidP="00431DE7">
      <w:pPr>
        <w:jc w:val="both"/>
        <w:rPr>
          <w:rFonts w:ascii="Arial" w:hAnsi="Arial" w:cs="Arial"/>
        </w:rPr>
      </w:pPr>
    </w:p>
    <w:p w:rsidR="00586796" w:rsidRDefault="00586796" w:rsidP="00431DE7">
      <w:pPr>
        <w:jc w:val="both"/>
        <w:rPr>
          <w:rFonts w:ascii="Arial" w:hAnsi="Arial" w:cs="Arial"/>
        </w:rPr>
      </w:pPr>
    </w:p>
    <w:p w:rsidR="00586796" w:rsidRDefault="00586796" w:rsidP="00431DE7">
      <w:pPr>
        <w:jc w:val="both"/>
        <w:rPr>
          <w:rFonts w:ascii="Arial" w:hAnsi="Arial" w:cs="Arial"/>
        </w:rPr>
      </w:pPr>
    </w:p>
    <w:p w:rsidR="00586796" w:rsidRDefault="00586796" w:rsidP="00431DE7">
      <w:pPr>
        <w:jc w:val="both"/>
        <w:rPr>
          <w:rFonts w:ascii="Arial" w:hAnsi="Arial" w:cs="Arial"/>
        </w:rPr>
      </w:pPr>
    </w:p>
    <w:p w:rsidR="00431DE7" w:rsidRPr="009D1596" w:rsidRDefault="00431DE7" w:rsidP="00431DE7">
      <w:pPr>
        <w:jc w:val="both"/>
        <w:rPr>
          <w:rFonts w:ascii="Arial" w:hAnsi="Arial" w:cs="Arial"/>
        </w:rPr>
      </w:pPr>
    </w:p>
    <w:p w:rsidR="00431DE7" w:rsidRPr="009D1596" w:rsidRDefault="00431DE7" w:rsidP="00431DE7">
      <w:pPr>
        <w:rPr>
          <w:rFonts w:ascii="Arial" w:hAnsi="Arial" w:cs="Arial"/>
        </w:rPr>
      </w:pPr>
      <w:r w:rsidRPr="009D1596">
        <w:rPr>
          <w:rFonts w:ascii="Arial" w:hAnsi="Arial" w:cs="Arial"/>
          <w:b/>
          <w:bCs/>
        </w:rPr>
        <w:t>Zdůvodnění:</w:t>
      </w:r>
      <w:r w:rsidRPr="009D1596">
        <w:rPr>
          <w:rFonts w:ascii="Arial" w:hAnsi="Arial" w:cs="Arial"/>
        </w:rPr>
        <w:t xml:space="preserve"> </w:t>
      </w:r>
    </w:p>
    <w:p w:rsidR="00431DE7" w:rsidRPr="009D1596" w:rsidRDefault="00431DE7" w:rsidP="00431DE7">
      <w:pPr>
        <w:jc w:val="both"/>
        <w:rPr>
          <w:rFonts w:ascii="Arial" w:hAnsi="Arial" w:cs="Arial"/>
        </w:rPr>
      </w:pPr>
      <w:r w:rsidRPr="009D1596">
        <w:rPr>
          <w:rFonts w:ascii="Arial" w:hAnsi="Arial" w:cs="Arial"/>
        </w:rPr>
        <w:t>Vnější vlivy jsou stanoveny odbornou komisí v souladu s ČSN 33 2000-1 ED. 2, ČSN</w:t>
      </w:r>
      <w:r w:rsidRPr="009D1596">
        <w:rPr>
          <w:rFonts w:ascii="Arial" w:hAnsi="Arial" w:cs="Arial"/>
          <w:bCs/>
        </w:rPr>
        <w:t xml:space="preserve"> 33 2000-5-51 ED. </w:t>
      </w:r>
      <w:smartTag w:uri="urn:schemas-microsoft-com:office:smarttags" w:element="metricconverter">
        <w:smartTagPr>
          <w:attr w:name="ProductID" w:val="3 a"/>
        </w:smartTagPr>
        <w:r w:rsidRPr="009D1596">
          <w:rPr>
            <w:rFonts w:ascii="Arial" w:hAnsi="Arial" w:cs="Arial"/>
            <w:bCs/>
          </w:rPr>
          <w:t>3 a</w:t>
        </w:r>
      </w:smartTag>
      <w:r w:rsidRPr="009D1596">
        <w:rPr>
          <w:rFonts w:ascii="Arial" w:hAnsi="Arial" w:cs="Arial"/>
          <w:bCs/>
        </w:rPr>
        <w:t xml:space="preserve"> tabulkou</w:t>
      </w:r>
      <w:r w:rsidRPr="009D1596">
        <w:rPr>
          <w:rFonts w:ascii="Arial" w:hAnsi="Arial" w:cs="Arial"/>
        </w:rPr>
        <w:t xml:space="preserve"> vnějších vlivů. </w:t>
      </w:r>
    </w:p>
    <w:p w:rsidR="00431DE7" w:rsidRPr="009D1596" w:rsidRDefault="00431DE7" w:rsidP="00431DE7">
      <w:pPr>
        <w:rPr>
          <w:rFonts w:ascii="Arial" w:hAnsi="Arial" w:cs="Arial"/>
        </w:rPr>
      </w:pPr>
    </w:p>
    <w:p w:rsidR="00431DE7" w:rsidRPr="009D1596" w:rsidRDefault="005F6125" w:rsidP="00431DE7">
      <w:pPr>
        <w:rPr>
          <w:rFonts w:ascii="Arial" w:hAnsi="Arial" w:cs="Arial"/>
        </w:rPr>
      </w:pPr>
      <w:r>
        <w:rPr>
          <w:rFonts w:ascii="Arial" w:hAnsi="Arial" w:cs="Arial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365.15pt;margin-top:7.55pt;width:53pt;height:86pt;z-index:-251658752">
            <v:imagedata r:id="rId7" o:title=""/>
          </v:shape>
          <o:OLEObject Type="Embed" ProgID="CorelPhotoPaint.Image.12" ShapeID="_x0000_s1029" DrawAspect="Content" ObjectID="_1528720009" r:id="rId8"/>
        </w:object>
      </w:r>
    </w:p>
    <w:p w:rsidR="00431DE7" w:rsidRPr="009D1596" w:rsidRDefault="00431DE7" w:rsidP="00431DE7">
      <w:pPr>
        <w:rPr>
          <w:rFonts w:ascii="Arial" w:hAnsi="Arial" w:cs="Arial"/>
        </w:rPr>
      </w:pPr>
    </w:p>
    <w:p w:rsidR="00431DE7" w:rsidRPr="009D1596" w:rsidRDefault="00431DE7" w:rsidP="00431DE7">
      <w:pPr>
        <w:rPr>
          <w:rFonts w:ascii="Arial" w:hAnsi="Arial" w:cs="Arial"/>
        </w:rPr>
      </w:pPr>
    </w:p>
    <w:p w:rsidR="00431DE7" w:rsidRPr="009D1596" w:rsidRDefault="00431DE7" w:rsidP="00431DE7">
      <w:pPr>
        <w:rPr>
          <w:rFonts w:ascii="Arial" w:hAnsi="Arial" w:cs="Arial"/>
        </w:rPr>
      </w:pPr>
    </w:p>
    <w:p w:rsidR="00431DE7" w:rsidRPr="009D1596" w:rsidRDefault="00431DE7" w:rsidP="00431DE7">
      <w:pPr>
        <w:rPr>
          <w:rFonts w:ascii="Arial" w:hAnsi="Arial" w:cs="Arial"/>
        </w:rPr>
      </w:pPr>
    </w:p>
    <w:p w:rsidR="00431DE7" w:rsidRPr="009D1596" w:rsidRDefault="00431DE7" w:rsidP="00431DE7">
      <w:pPr>
        <w:rPr>
          <w:rFonts w:ascii="Arial" w:hAnsi="Arial" w:cs="Arial"/>
        </w:rPr>
      </w:pPr>
    </w:p>
    <w:p w:rsidR="00431DE7" w:rsidRPr="009D1596" w:rsidRDefault="00431DE7" w:rsidP="00431DE7">
      <w:pPr>
        <w:rPr>
          <w:rFonts w:ascii="Arial" w:hAnsi="Arial" w:cs="Arial"/>
        </w:rPr>
      </w:pPr>
      <w:r w:rsidRPr="009D1596">
        <w:rPr>
          <w:rFonts w:ascii="Arial" w:hAnsi="Arial" w:cs="Arial"/>
        </w:rPr>
        <w:t>Datum sepsání protokolu:</w:t>
      </w:r>
      <w:r w:rsidR="00DA4159">
        <w:rPr>
          <w:rFonts w:ascii="Arial" w:hAnsi="Arial" w:cs="Arial"/>
        </w:rPr>
        <w:t xml:space="preserve"> </w:t>
      </w:r>
      <w:r w:rsidR="00172065">
        <w:rPr>
          <w:rFonts w:ascii="Arial" w:hAnsi="Arial" w:cs="Arial"/>
        </w:rPr>
        <w:t>29</w:t>
      </w:r>
      <w:r w:rsidR="00103FB2">
        <w:rPr>
          <w:rFonts w:ascii="Arial" w:hAnsi="Arial" w:cs="Arial"/>
        </w:rPr>
        <w:t>. 0</w:t>
      </w:r>
      <w:r w:rsidR="00172065">
        <w:rPr>
          <w:rFonts w:ascii="Arial" w:hAnsi="Arial" w:cs="Arial"/>
        </w:rPr>
        <w:t>6</w:t>
      </w:r>
      <w:r w:rsidR="00103FB2">
        <w:rPr>
          <w:rFonts w:ascii="Arial" w:hAnsi="Arial" w:cs="Arial"/>
        </w:rPr>
        <w:t>. 201</w:t>
      </w:r>
      <w:r w:rsidR="00172065">
        <w:rPr>
          <w:rFonts w:ascii="Arial" w:hAnsi="Arial" w:cs="Arial"/>
        </w:rPr>
        <w:t>6</w:t>
      </w:r>
      <w:r w:rsidRPr="009D1596">
        <w:rPr>
          <w:rFonts w:ascii="Arial" w:hAnsi="Arial" w:cs="Arial"/>
        </w:rPr>
        <w:t xml:space="preserve"> </w:t>
      </w:r>
      <w:r w:rsidRPr="009D1596">
        <w:rPr>
          <w:rFonts w:ascii="Arial" w:hAnsi="Arial" w:cs="Arial"/>
        </w:rPr>
        <w:tab/>
      </w:r>
      <w:r w:rsidRPr="009D1596">
        <w:rPr>
          <w:rFonts w:ascii="Arial" w:hAnsi="Arial" w:cs="Arial"/>
        </w:rPr>
        <w:tab/>
      </w:r>
      <w:r w:rsidRPr="009D1596">
        <w:rPr>
          <w:rFonts w:ascii="Arial" w:hAnsi="Arial" w:cs="Arial"/>
        </w:rPr>
        <w:tab/>
      </w:r>
      <w:r w:rsidRPr="009D1596">
        <w:rPr>
          <w:rFonts w:ascii="Arial" w:hAnsi="Arial" w:cs="Arial"/>
        </w:rPr>
        <w:tab/>
      </w:r>
      <w:r w:rsidRPr="009D1596">
        <w:rPr>
          <w:rFonts w:ascii="Arial" w:hAnsi="Arial" w:cs="Arial"/>
        </w:rPr>
        <w:tab/>
        <w:t>Projektant:</w:t>
      </w:r>
    </w:p>
    <w:p w:rsidR="009F3E82" w:rsidRDefault="009F3E82" w:rsidP="00586796">
      <w:pPr>
        <w:pStyle w:val="Zkladntext"/>
        <w:rPr>
          <w:rFonts w:ascii="Tahoma" w:hAnsi="Tahoma" w:cs="Tahoma"/>
          <w:b/>
        </w:rPr>
      </w:pPr>
    </w:p>
    <w:p w:rsidR="00586796" w:rsidRPr="002A02CE" w:rsidRDefault="00586796" w:rsidP="00586796">
      <w:pPr>
        <w:pStyle w:val="Zkladntex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lastRenderedPageBreak/>
        <w:t>Tabulka ZA1.3 – charakteristiky vnějších vlivů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 xml:space="preserve">    </w:t>
      </w:r>
      <w:r w:rsidRPr="002A02CE">
        <w:rPr>
          <w:rFonts w:ascii="Tahoma" w:hAnsi="Tahoma" w:cs="Tahoma"/>
          <w:b/>
          <w:bCs/>
        </w:rPr>
        <w:t>ČSN 33 2000-</w:t>
      </w:r>
      <w:r>
        <w:rPr>
          <w:rFonts w:ascii="Tahoma" w:hAnsi="Tahoma" w:cs="Tahoma"/>
          <w:b/>
          <w:bCs/>
        </w:rPr>
        <w:t>5-51 ed.3</w:t>
      </w:r>
    </w:p>
    <w:p w:rsidR="00586796" w:rsidRPr="002A02CE" w:rsidRDefault="00586796" w:rsidP="00586796">
      <w:pPr>
        <w:pStyle w:val="Zkladntext"/>
        <w:rPr>
          <w:rFonts w:ascii="Tahoma" w:hAnsi="Tahoma" w:cs="Tahoma"/>
        </w:rPr>
      </w:pPr>
    </w:p>
    <w:p w:rsidR="00586796" w:rsidRDefault="00586796" w:rsidP="00586796">
      <w:pPr>
        <w:pStyle w:val="Zkladntext"/>
        <w:rPr>
          <w:rFonts w:ascii="Tahoma" w:hAnsi="Tahoma" w:cs="Tahoma"/>
        </w:rPr>
      </w:pPr>
      <w:r w:rsidRPr="002A02CE">
        <w:rPr>
          <w:rFonts w:ascii="Tahoma" w:hAnsi="Tahoma" w:cs="Tahoma"/>
        </w:rPr>
        <w:t>Přiřazení vnějších vlivů prostředí prostorům členěným z hlediska nebezpečí úrazu elektrickým proudem.</w:t>
      </w:r>
    </w:p>
    <w:p w:rsidR="00586796" w:rsidRPr="002A02CE" w:rsidRDefault="00586796" w:rsidP="00586796">
      <w:pPr>
        <w:pStyle w:val="Zkladntext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"/>
        <w:gridCol w:w="1066"/>
        <w:gridCol w:w="7040"/>
      </w:tblGrid>
      <w:tr w:rsidR="00586796" w:rsidRPr="002A02CE" w:rsidTr="000F5F63">
        <w:trPr>
          <w:cantSplit/>
          <w:trHeight w:val="340"/>
        </w:trPr>
        <w:tc>
          <w:tcPr>
            <w:tcW w:w="970" w:type="dxa"/>
            <w:vMerge w:val="restart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</w:t>
            </w: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AA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 xml:space="preserve">AA7 – teplota okolí </w:t>
            </w:r>
            <w:smartTag w:uri="urn:schemas-microsoft-com:office:smarttags" w:element="metricconverter">
              <w:smartTagPr>
                <w:attr w:name="ProductID" w:val="-25ﾰC"/>
              </w:smartTagPr>
              <w:r w:rsidRPr="002A02CE">
                <w:rPr>
                  <w:rFonts w:ascii="Tahoma" w:hAnsi="Tahoma" w:cs="Tahoma"/>
                </w:rPr>
                <w:t>-25°C</w:t>
              </w:r>
            </w:smartTag>
            <w:r w:rsidRPr="002A02CE">
              <w:rPr>
                <w:rFonts w:ascii="Tahoma" w:hAnsi="Tahoma" w:cs="Tahoma"/>
              </w:rPr>
              <w:t xml:space="preserve">  - +</w:t>
            </w:r>
            <w:smartTag w:uri="urn:schemas-microsoft-com:office:smarttags" w:element="metricconverter">
              <w:smartTagPr>
                <w:attr w:name="ProductID" w:val="55ﾰC"/>
              </w:smartTagPr>
              <w:r w:rsidRPr="002A02CE">
                <w:rPr>
                  <w:rFonts w:ascii="Tahoma" w:hAnsi="Tahoma" w:cs="Tahoma"/>
                </w:rPr>
                <w:t>55°C</w:t>
              </w:r>
            </w:smartTag>
            <w:r>
              <w:rPr>
                <w:rFonts w:ascii="Tahoma" w:hAnsi="Tahoma" w:cs="Tahoma"/>
              </w:rPr>
              <w:t xml:space="preserve"> (1)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AB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AB</w:t>
            </w:r>
            <w:r>
              <w:rPr>
                <w:rFonts w:ascii="Tahoma" w:hAnsi="Tahoma" w:cs="Tahoma"/>
              </w:rPr>
              <w:t>8</w:t>
            </w:r>
            <w:r w:rsidRPr="002A02CE">
              <w:rPr>
                <w:rFonts w:ascii="Tahoma" w:hAnsi="Tahoma" w:cs="Tahoma"/>
              </w:rPr>
              <w:t xml:space="preserve">  – </w:t>
            </w:r>
            <w:r>
              <w:rPr>
                <w:rFonts w:ascii="Tahoma" w:hAnsi="Tahoma" w:cs="Tahoma"/>
              </w:rPr>
              <w:t xml:space="preserve">venkovní </w:t>
            </w:r>
            <w:r w:rsidRPr="002A02CE">
              <w:rPr>
                <w:rFonts w:ascii="Tahoma" w:hAnsi="Tahoma" w:cs="Tahoma"/>
              </w:rPr>
              <w:t xml:space="preserve">prostory </w:t>
            </w:r>
            <w:r>
              <w:rPr>
                <w:rFonts w:ascii="Tahoma" w:hAnsi="Tahoma" w:cs="Tahoma"/>
              </w:rPr>
              <w:t>ne</w:t>
            </w:r>
            <w:r w:rsidRPr="002A02CE">
              <w:rPr>
                <w:rFonts w:ascii="Tahoma" w:hAnsi="Tahoma" w:cs="Tahoma"/>
              </w:rPr>
              <w:t>chráněné před atmosférickými vlivy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AC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AC1 – nadmořská výška &lt; 2000m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AD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AD</w:t>
            </w:r>
            <w:r>
              <w:rPr>
                <w:rFonts w:ascii="Tahoma" w:hAnsi="Tahoma" w:cs="Tahoma"/>
              </w:rPr>
              <w:t>4</w:t>
            </w:r>
            <w:r w:rsidRPr="002A02CE">
              <w:rPr>
                <w:rFonts w:ascii="Tahoma" w:hAnsi="Tahoma" w:cs="Tahoma"/>
              </w:rPr>
              <w:t xml:space="preserve"> – výskyt vody – </w:t>
            </w:r>
            <w:r>
              <w:rPr>
                <w:rFonts w:ascii="Tahoma" w:hAnsi="Tahoma" w:cs="Tahoma"/>
              </w:rPr>
              <w:t>stříkající voda (2)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AE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 xml:space="preserve">AE2 – výskyt cizích těles do 2,5mm </w:t>
            </w:r>
            <w:r>
              <w:rPr>
                <w:rFonts w:ascii="Tahoma" w:hAnsi="Tahoma" w:cs="Tahoma"/>
              </w:rPr>
              <w:t>(3)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AF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AF3 – výskyt korozívních nebo znečisťujících látek občasný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AG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AG2 – mechanická namáhání - ráz střední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AH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AH2 – vibrace střední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AK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AK1 – výskyt rostlinstva nebo plísní bez vážného nebezpečí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AL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AL1 – výskyt živočichů bez vážného nebezpečí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AM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AM1 – elektromagnetická, elektrostatická nebo ionizující působení bez škodlivých účinků</w:t>
            </w:r>
            <w:r>
              <w:rPr>
                <w:rFonts w:ascii="Tahoma" w:hAnsi="Tahoma" w:cs="Tahoma"/>
              </w:rPr>
              <w:t xml:space="preserve"> (5)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AN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AN</w:t>
            </w:r>
            <w:r>
              <w:rPr>
                <w:rFonts w:ascii="Tahoma" w:hAnsi="Tahoma" w:cs="Tahoma"/>
              </w:rPr>
              <w:t>2</w:t>
            </w:r>
            <w:r w:rsidRPr="002A02CE">
              <w:rPr>
                <w:rFonts w:ascii="Tahoma" w:hAnsi="Tahoma" w:cs="Tahoma"/>
              </w:rPr>
              <w:t xml:space="preserve"> – sluneční záření – intenzita </w:t>
            </w:r>
            <w:r>
              <w:rPr>
                <w:rFonts w:ascii="Tahoma" w:hAnsi="Tahoma" w:cs="Tahoma"/>
              </w:rPr>
              <w:t>střední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AP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AP1 – seizmické účinky zanedbatelné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AQ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AQ</w:t>
            </w:r>
            <w:r>
              <w:rPr>
                <w:rFonts w:ascii="Tahoma" w:hAnsi="Tahoma" w:cs="Tahoma"/>
              </w:rPr>
              <w:t>3</w:t>
            </w:r>
            <w:r w:rsidRPr="002A02CE">
              <w:rPr>
                <w:rFonts w:ascii="Tahoma" w:hAnsi="Tahoma" w:cs="Tahoma"/>
              </w:rPr>
              <w:t xml:space="preserve"> – ohrožení bleskem -  </w:t>
            </w:r>
            <w:r>
              <w:rPr>
                <w:rFonts w:ascii="Tahoma" w:hAnsi="Tahoma" w:cs="Tahoma"/>
              </w:rPr>
              <w:t>přímé ohrožení (6)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AR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AR1</w:t>
            </w:r>
            <w:r>
              <w:rPr>
                <w:rFonts w:ascii="Tahoma" w:hAnsi="Tahoma" w:cs="Tahoma"/>
              </w:rPr>
              <w:t>-AR4</w:t>
            </w:r>
            <w:r w:rsidRPr="002A02CE">
              <w:rPr>
                <w:rFonts w:ascii="Tahoma" w:hAnsi="Tahoma" w:cs="Tahoma"/>
              </w:rPr>
              <w:t xml:space="preserve"> – pohyb vzduchu pomalý </w:t>
            </w:r>
            <w:r>
              <w:rPr>
                <w:rFonts w:ascii="Tahoma" w:hAnsi="Tahoma" w:cs="Tahoma"/>
              </w:rPr>
              <w:t>až silný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AS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AS1</w:t>
            </w:r>
            <w:r>
              <w:rPr>
                <w:rFonts w:ascii="Tahoma" w:hAnsi="Tahoma" w:cs="Tahoma"/>
              </w:rPr>
              <w:t>-AS3</w:t>
            </w:r>
            <w:r w:rsidRPr="002A02CE">
              <w:rPr>
                <w:rFonts w:ascii="Tahoma" w:hAnsi="Tahoma" w:cs="Tahoma"/>
              </w:rPr>
              <w:t xml:space="preserve"> – vítr malý</w:t>
            </w:r>
            <w:r>
              <w:rPr>
                <w:rFonts w:ascii="Tahoma" w:hAnsi="Tahoma" w:cs="Tahoma"/>
              </w:rPr>
              <w:t xml:space="preserve"> až silný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 w:val="restart"/>
            <w:vAlign w:val="center"/>
          </w:tcPr>
          <w:p w:rsidR="00586796" w:rsidRPr="002A02CE" w:rsidRDefault="00586796" w:rsidP="000F5F63">
            <w:pPr>
              <w:pStyle w:val="Nadpis1"/>
              <w:rPr>
                <w:rFonts w:ascii="Tahoma" w:hAnsi="Tahoma" w:cs="Tahoma"/>
                <w:b/>
                <w:sz w:val="20"/>
                <w:u w:val="none"/>
              </w:rPr>
            </w:pPr>
            <w:r w:rsidRPr="002A02CE">
              <w:rPr>
                <w:rFonts w:ascii="Tahoma" w:hAnsi="Tahoma" w:cs="Tahoma"/>
                <w:b/>
                <w:sz w:val="20"/>
                <w:u w:val="none"/>
              </w:rPr>
              <w:t>B</w:t>
            </w: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BA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BA1 – nepoučené osoby (laici)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BC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BC3 – dotyk osob s potenciálem země častý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BD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BD1 – malá hustota obsazení, snadné podmínky pro únik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BE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BE1 – bez nebezpečí požáru</w:t>
            </w:r>
            <w:r>
              <w:rPr>
                <w:rFonts w:ascii="Tahoma" w:hAnsi="Tahoma" w:cs="Tahoma"/>
              </w:rPr>
              <w:t xml:space="preserve"> (4)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 w:val="restart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C</w:t>
            </w: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CA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CA1 – konstrukční materiály nehořlavé</w:t>
            </w:r>
          </w:p>
        </w:tc>
      </w:tr>
      <w:tr w:rsidR="00586796" w:rsidRPr="002A02CE" w:rsidTr="000F5F63">
        <w:trPr>
          <w:cantSplit/>
          <w:trHeight w:val="340"/>
        </w:trPr>
        <w:tc>
          <w:tcPr>
            <w:tcW w:w="970" w:type="dxa"/>
            <w:vMerge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586796" w:rsidRPr="002A02CE" w:rsidRDefault="00586796" w:rsidP="000F5F6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A02CE">
              <w:rPr>
                <w:rFonts w:ascii="Tahoma" w:hAnsi="Tahoma" w:cs="Tahoma"/>
                <w:b/>
                <w:bCs/>
              </w:rPr>
              <w:t>CB</w:t>
            </w:r>
          </w:p>
        </w:tc>
        <w:tc>
          <w:tcPr>
            <w:tcW w:w="7160" w:type="dxa"/>
            <w:vAlign w:val="center"/>
          </w:tcPr>
          <w:p w:rsidR="00586796" w:rsidRPr="002A02CE" w:rsidRDefault="00586796" w:rsidP="000F5F63">
            <w:pPr>
              <w:rPr>
                <w:rFonts w:ascii="Tahoma" w:hAnsi="Tahoma" w:cs="Tahoma"/>
              </w:rPr>
            </w:pPr>
            <w:r w:rsidRPr="002A02CE">
              <w:rPr>
                <w:rFonts w:ascii="Tahoma" w:hAnsi="Tahoma" w:cs="Tahoma"/>
              </w:rPr>
              <w:t>CB1 – konstrukce budov zanedbatelné nebezpečí</w:t>
            </w:r>
          </w:p>
        </w:tc>
      </w:tr>
      <w:tr w:rsidR="00586796" w:rsidRPr="002A02CE" w:rsidTr="000F5F63">
        <w:trPr>
          <w:cantSplit/>
          <w:trHeight w:val="454"/>
        </w:trPr>
        <w:tc>
          <w:tcPr>
            <w:tcW w:w="9210" w:type="dxa"/>
            <w:gridSpan w:val="3"/>
            <w:vAlign w:val="center"/>
          </w:tcPr>
          <w:p w:rsidR="00586796" w:rsidRPr="00562541" w:rsidRDefault="00586796" w:rsidP="000F5F63">
            <w:pPr>
              <w:rPr>
                <w:rFonts w:ascii="Tahoma" w:hAnsi="Tahoma" w:cs="Tahoma"/>
              </w:rPr>
            </w:pPr>
            <w:r w:rsidRPr="00562541">
              <w:rPr>
                <w:rFonts w:ascii="Tahoma" w:hAnsi="Tahoma" w:cs="Tahoma"/>
              </w:rPr>
              <w:t>Vysvětlivky:</w:t>
            </w:r>
          </w:p>
          <w:p w:rsidR="00586796" w:rsidRPr="00562541" w:rsidRDefault="00586796" w:rsidP="000F5F63">
            <w:pPr>
              <w:rPr>
                <w:rFonts w:ascii="Tahoma" w:hAnsi="Tahoma" w:cs="Tahoma"/>
              </w:rPr>
            </w:pPr>
            <w:r w:rsidRPr="00562541">
              <w:rPr>
                <w:rFonts w:ascii="Tahoma" w:hAnsi="Tahoma" w:cs="Tahoma"/>
              </w:rPr>
              <w:t xml:space="preserve">1) Třída vlivu, která je podle ČSN 33 2000-5-51 ed.3 </w:t>
            </w:r>
            <w:r>
              <w:rPr>
                <w:rFonts w:ascii="Tahoma" w:hAnsi="Tahoma" w:cs="Tahoma"/>
              </w:rPr>
              <w:t>– zařízení pro teploty mimo uvedený rozsah vyžaduje zvláštní posouzení.</w:t>
            </w:r>
          </w:p>
          <w:p w:rsidR="00586796" w:rsidRDefault="00586796" w:rsidP="000F5F6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2) </w:t>
            </w:r>
            <w:r w:rsidRPr="00562541">
              <w:rPr>
                <w:rFonts w:ascii="Tahoma" w:hAnsi="Tahoma" w:cs="Tahoma"/>
              </w:rPr>
              <w:t>Třída vlivu, která je podle ČSN 33 2000-5-51 ed.3 definována jako venkovní prostory a prostory nechráněné před atmosférickými vlivy</w:t>
            </w:r>
            <w:r>
              <w:rPr>
                <w:rFonts w:ascii="Tahoma" w:hAnsi="Tahoma" w:cs="Tahoma"/>
              </w:rPr>
              <w:t xml:space="preserve">. </w:t>
            </w:r>
          </w:p>
          <w:p w:rsidR="00586796" w:rsidRPr="00562541" w:rsidRDefault="00586796" w:rsidP="000F5F6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3) </w:t>
            </w:r>
            <w:r w:rsidRPr="00562541">
              <w:rPr>
                <w:rFonts w:ascii="Tahoma" w:hAnsi="Tahoma" w:cs="Tahoma"/>
              </w:rPr>
              <w:t>Prach je nevodivý</w:t>
            </w:r>
          </w:p>
          <w:p w:rsidR="00586796" w:rsidRPr="00562541" w:rsidRDefault="00586796" w:rsidP="000F5F6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4) </w:t>
            </w:r>
            <w:r w:rsidRPr="00562541">
              <w:rPr>
                <w:rFonts w:ascii="Tahoma" w:hAnsi="Tahoma" w:cs="Tahoma"/>
              </w:rPr>
              <w:t>Tyto vnější vlivy neovlivňují nebezpečí úrazu osob, je však nutno dbát, aby ochrana před dotykem nemohla být sama o sobě příčinou vznícení nebo výbuchu</w:t>
            </w:r>
          </w:p>
          <w:p w:rsidR="00586796" w:rsidRPr="00562541" w:rsidRDefault="00586796" w:rsidP="000F5F6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5) </w:t>
            </w:r>
            <w:r w:rsidRPr="00562541">
              <w:rPr>
                <w:rFonts w:ascii="Tahoma" w:hAnsi="Tahoma" w:cs="Tahoma"/>
              </w:rPr>
              <w:t>Ohrožení zdraví je způsobeno jinými vlivy, nikoliv možností elektrického úrazu</w:t>
            </w:r>
          </w:p>
          <w:p w:rsidR="00586796" w:rsidRPr="002A02CE" w:rsidRDefault="00586796" w:rsidP="000F5F63">
            <w:r w:rsidRPr="00562541">
              <w:rPr>
                <w:rFonts w:ascii="Tahoma" w:hAnsi="Tahoma" w:cs="Tahoma"/>
              </w:rPr>
              <w:t>6)  Objekty, které je nutno chránit před bleskem jsou definovány v ČSN EN 62 305</w:t>
            </w:r>
          </w:p>
        </w:tc>
      </w:tr>
    </w:tbl>
    <w:p w:rsidR="00431DE7" w:rsidRDefault="00431DE7" w:rsidP="00431DE7">
      <w:pPr>
        <w:pStyle w:val="Zkladntext"/>
        <w:rPr>
          <w:rFonts w:ascii="Arial" w:hAnsi="Arial" w:cs="Arial"/>
          <w:b/>
        </w:rPr>
      </w:pPr>
    </w:p>
    <w:p w:rsidR="00431DE7" w:rsidRDefault="00431DE7" w:rsidP="00431DE7">
      <w:pPr>
        <w:pStyle w:val="Zkladntext"/>
        <w:rPr>
          <w:rFonts w:ascii="Arial" w:hAnsi="Arial" w:cs="Arial"/>
          <w:b/>
        </w:rPr>
      </w:pPr>
    </w:p>
    <w:p w:rsidR="00431DE7" w:rsidRPr="00082BB9" w:rsidRDefault="00431DE7" w:rsidP="00431DE7">
      <w:pPr>
        <w:pStyle w:val="Zkladntext"/>
        <w:rPr>
          <w:rFonts w:ascii="Arial" w:hAnsi="Arial" w:cs="Arial"/>
          <w:b/>
        </w:rPr>
      </w:pPr>
    </w:p>
    <w:p w:rsidR="00431DE7" w:rsidRPr="009D1596" w:rsidRDefault="00431DE7" w:rsidP="00431DE7">
      <w:pPr>
        <w:pStyle w:val="Zkladntext"/>
        <w:rPr>
          <w:rFonts w:ascii="Arial" w:hAnsi="Arial" w:cs="Arial"/>
          <w:b/>
        </w:rPr>
      </w:pPr>
    </w:p>
    <w:p w:rsidR="00431DE7" w:rsidRDefault="00431DE7" w:rsidP="00812D2A">
      <w:pPr>
        <w:pStyle w:val="Nzev"/>
        <w:rPr>
          <w:rFonts w:ascii="Tahoma" w:hAnsi="Tahoma" w:cs="Tahoma"/>
          <w:bCs w:val="0"/>
          <w:sz w:val="28"/>
          <w:szCs w:val="28"/>
        </w:rPr>
      </w:pPr>
    </w:p>
    <w:p w:rsidR="00431DE7" w:rsidRDefault="00431DE7" w:rsidP="00812D2A">
      <w:pPr>
        <w:pStyle w:val="Nzev"/>
        <w:rPr>
          <w:rFonts w:ascii="Tahoma" w:hAnsi="Tahoma" w:cs="Tahoma"/>
          <w:bCs w:val="0"/>
          <w:sz w:val="28"/>
          <w:szCs w:val="28"/>
        </w:rPr>
      </w:pPr>
    </w:p>
    <w:sectPr w:rsidR="00431DE7">
      <w:pgSz w:w="11907" w:h="16839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8AA" w:rsidRDefault="00A678AA">
      <w:r>
        <w:separator/>
      </w:r>
    </w:p>
  </w:endnote>
  <w:endnote w:type="continuationSeparator" w:id="0">
    <w:p w:rsidR="00A678AA" w:rsidRDefault="00A6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8AA" w:rsidRDefault="00A678AA">
      <w:r>
        <w:separator/>
      </w:r>
    </w:p>
  </w:footnote>
  <w:footnote w:type="continuationSeparator" w:id="0">
    <w:p w:rsidR="00A678AA" w:rsidRDefault="00A67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94DE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614D8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1B5DEE"/>
    <w:multiLevelType w:val="hybridMultilevel"/>
    <w:tmpl w:val="8ED86660"/>
    <w:lvl w:ilvl="0" w:tplc="E0B040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974FC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1E3C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0EF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CCDA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B4A7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3461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4272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BA7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768AB"/>
    <w:multiLevelType w:val="hybridMultilevel"/>
    <w:tmpl w:val="1144E2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9307A4"/>
    <w:multiLevelType w:val="singleLevel"/>
    <w:tmpl w:val="0405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22B4843"/>
    <w:multiLevelType w:val="hybridMultilevel"/>
    <w:tmpl w:val="67BC0E78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394DA8"/>
    <w:multiLevelType w:val="hybridMultilevel"/>
    <w:tmpl w:val="397229FE"/>
    <w:lvl w:ilvl="0" w:tplc="1A2C4EE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1B"/>
    <w:rsid w:val="0000755F"/>
    <w:rsid w:val="00012016"/>
    <w:rsid w:val="000527D9"/>
    <w:rsid w:val="00055530"/>
    <w:rsid w:val="00064D92"/>
    <w:rsid w:val="0009726A"/>
    <w:rsid w:val="000C0FFA"/>
    <w:rsid w:val="000C6987"/>
    <w:rsid w:val="000D73D6"/>
    <w:rsid w:val="000D7C2F"/>
    <w:rsid w:val="000E18CE"/>
    <w:rsid w:val="000F5F63"/>
    <w:rsid w:val="0010148E"/>
    <w:rsid w:val="00103FB2"/>
    <w:rsid w:val="00105FDD"/>
    <w:rsid w:val="00147345"/>
    <w:rsid w:val="00172065"/>
    <w:rsid w:val="00172F6A"/>
    <w:rsid w:val="001956C1"/>
    <w:rsid w:val="001C47FF"/>
    <w:rsid w:val="001C7218"/>
    <w:rsid w:val="001D1096"/>
    <w:rsid w:val="001E3E70"/>
    <w:rsid w:val="001E4139"/>
    <w:rsid w:val="0020730C"/>
    <w:rsid w:val="00216ED7"/>
    <w:rsid w:val="00221149"/>
    <w:rsid w:val="00240419"/>
    <w:rsid w:val="00245256"/>
    <w:rsid w:val="002453AE"/>
    <w:rsid w:val="002479DF"/>
    <w:rsid w:val="00266DDC"/>
    <w:rsid w:val="00271633"/>
    <w:rsid w:val="00282902"/>
    <w:rsid w:val="0028297A"/>
    <w:rsid w:val="00291291"/>
    <w:rsid w:val="002932D8"/>
    <w:rsid w:val="002A3E24"/>
    <w:rsid w:val="002C21B3"/>
    <w:rsid w:val="002D0D73"/>
    <w:rsid w:val="002F62FE"/>
    <w:rsid w:val="00312C19"/>
    <w:rsid w:val="00365023"/>
    <w:rsid w:val="00371C75"/>
    <w:rsid w:val="00376214"/>
    <w:rsid w:val="00394463"/>
    <w:rsid w:val="003A18B8"/>
    <w:rsid w:val="003A4F37"/>
    <w:rsid w:val="003B109E"/>
    <w:rsid w:val="003B551B"/>
    <w:rsid w:val="003B64C3"/>
    <w:rsid w:val="003E21C9"/>
    <w:rsid w:val="003F6213"/>
    <w:rsid w:val="003F6B5E"/>
    <w:rsid w:val="003F7413"/>
    <w:rsid w:val="00403241"/>
    <w:rsid w:val="00407CDF"/>
    <w:rsid w:val="0041321E"/>
    <w:rsid w:val="00415C4D"/>
    <w:rsid w:val="00431DE7"/>
    <w:rsid w:val="0043425C"/>
    <w:rsid w:val="00436EDA"/>
    <w:rsid w:val="00450C61"/>
    <w:rsid w:val="00456201"/>
    <w:rsid w:val="00456969"/>
    <w:rsid w:val="0046727F"/>
    <w:rsid w:val="0047169C"/>
    <w:rsid w:val="00474A64"/>
    <w:rsid w:val="00474A6E"/>
    <w:rsid w:val="004865D9"/>
    <w:rsid w:val="004965F6"/>
    <w:rsid w:val="00497EE8"/>
    <w:rsid w:val="004B5063"/>
    <w:rsid w:val="004E678D"/>
    <w:rsid w:val="004F4863"/>
    <w:rsid w:val="004F7949"/>
    <w:rsid w:val="00502556"/>
    <w:rsid w:val="005113FF"/>
    <w:rsid w:val="00517B5E"/>
    <w:rsid w:val="00517EE8"/>
    <w:rsid w:val="005223D7"/>
    <w:rsid w:val="00524D3D"/>
    <w:rsid w:val="00525147"/>
    <w:rsid w:val="00531955"/>
    <w:rsid w:val="00540ACD"/>
    <w:rsid w:val="00560049"/>
    <w:rsid w:val="00562B52"/>
    <w:rsid w:val="005735B2"/>
    <w:rsid w:val="0057688A"/>
    <w:rsid w:val="00577D0E"/>
    <w:rsid w:val="00581A98"/>
    <w:rsid w:val="00583B38"/>
    <w:rsid w:val="00586796"/>
    <w:rsid w:val="005A3FE5"/>
    <w:rsid w:val="005C3529"/>
    <w:rsid w:val="005D4DB3"/>
    <w:rsid w:val="005D5D4F"/>
    <w:rsid w:val="005E7EBC"/>
    <w:rsid w:val="005F3FA5"/>
    <w:rsid w:val="005F5792"/>
    <w:rsid w:val="00601831"/>
    <w:rsid w:val="00623301"/>
    <w:rsid w:val="00643F48"/>
    <w:rsid w:val="00655010"/>
    <w:rsid w:val="0069096D"/>
    <w:rsid w:val="00691874"/>
    <w:rsid w:val="00694B02"/>
    <w:rsid w:val="00694E81"/>
    <w:rsid w:val="006A1707"/>
    <w:rsid w:val="006A54F9"/>
    <w:rsid w:val="006C5122"/>
    <w:rsid w:val="006D32AB"/>
    <w:rsid w:val="00715413"/>
    <w:rsid w:val="007163BE"/>
    <w:rsid w:val="0072172A"/>
    <w:rsid w:val="00726295"/>
    <w:rsid w:val="0073517F"/>
    <w:rsid w:val="00742251"/>
    <w:rsid w:val="00750E71"/>
    <w:rsid w:val="00754083"/>
    <w:rsid w:val="00754686"/>
    <w:rsid w:val="0076093D"/>
    <w:rsid w:val="00771F92"/>
    <w:rsid w:val="007755EF"/>
    <w:rsid w:val="007B50F2"/>
    <w:rsid w:val="007B6DDF"/>
    <w:rsid w:val="007C1567"/>
    <w:rsid w:val="007C6AE6"/>
    <w:rsid w:val="007C6C95"/>
    <w:rsid w:val="007D1752"/>
    <w:rsid w:val="007D21DD"/>
    <w:rsid w:val="007D71A2"/>
    <w:rsid w:val="007F6D7D"/>
    <w:rsid w:val="007F7BB1"/>
    <w:rsid w:val="008067D4"/>
    <w:rsid w:val="00810774"/>
    <w:rsid w:val="0081193A"/>
    <w:rsid w:val="00812D2A"/>
    <w:rsid w:val="008163F5"/>
    <w:rsid w:val="0087026D"/>
    <w:rsid w:val="0087270E"/>
    <w:rsid w:val="008B109E"/>
    <w:rsid w:val="008B5816"/>
    <w:rsid w:val="008D04E1"/>
    <w:rsid w:val="008D10B8"/>
    <w:rsid w:val="008E0E71"/>
    <w:rsid w:val="008F1E60"/>
    <w:rsid w:val="008F4E8E"/>
    <w:rsid w:val="00900E2D"/>
    <w:rsid w:val="00901B4E"/>
    <w:rsid w:val="00901D6A"/>
    <w:rsid w:val="00923D88"/>
    <w:rsid w:val="00924557"/>
    <w:rsid w:val="00925607"/>
    <w:rsid w:val="00942332"/>
    <w:rsid w:val="00962D67"/>
    <w:rsid w:val="00964D31"/>
    <w:rsid w:val="0096523A"/>
    <w:rsid w:val="00992114"/>
    <w:rsid w:val="009A5B7B"/>
    <w:rsid w:val="009B53C4"/>
    <w:rsid w:val="009C11F3"/>
    <w:rsid w:val="009D0CB6"/>
    <w:rsid w:val="009D1002"/>
    <w:rsid w:val="009D438B"/>
    <w:rsid w:val="009E577B"/>
    <w:rsid w:val="009E57F6"/>
    <w:rsid w:val="009F0E55"/>
    <w:rsid w:val="009F3E82"/>
    <w:rsid w:val="00A23D37"/>
    <w:rsid w:val="00A30068"/>
    <w:rsid w:val="00A34B4B"/>
    <w:rsid w:val="00A41941"/>
    <w:rsid w:val="00A54B40"/>
    <w:rsid w:val="00A571D7"/>
    <w:rsid w:val="00A630EE"/>
    <w:rsid w:val="00A63D65"/>
    <w:rsid w:val="00A6563B"/>
    <w:rsid w:val="00A660DD"/>
    <w:rsid w:val="00A678AA"/>
    <w:rsid w:val="00A86482"/>
    <w:rsid w:val="00A91A29"/>
    <w:rsid w:val="00AA1216"/>
    <w:rsid w:val="00AB187B"/>
    <w:rsid w:val="00AD2622"/>
    <w:rsid w:val="00B16CA0"/>
    <w:rsid w:val="00B23D1E"/>
    <w:rsid w:val="00B242B8"/>
    <w:rsid w:val="00B43711"/>
    <w:rsid w:val="00B51161"/>
    <w:rsid w:val="00B52C4E"/>
    <w:rsid w:val="00B6454B"/>
    <w:rsid w:val="00B939CB"/>
    <w:rsid w:val="00B97644"/>
    <w:rsid w:val="00BA2BB3"/>
    <w:rsid w:val="00BA4BE7"/>
    <w:rsid w:val="00BA503E"/>
    <w:rsid w:val="00BD19CB"/>
    <w:rsid w:val="00BD473E"/>
    <w:rsid w:val="00BE37F8"/>
    <w:rsid w:val="00C00298"/>
    <w:rsid w:val="00C04445"/>
    <w:rsid w:val="00C1223C"/>
    <w:rsid w:val="00C239AB"/>
    <w:rsid w:val="00C3341A"/>
    <w:rsid w:val="00C55B2A"/>
    <w:rsid w:val="00C80C15"/>
    <w:rsid w:val="00C9149B"/>
    <w:rsid w:val="00C97311"/>
    <w:rsid w:val="00CB1F96"/>
    <w:rsid w:val="00CB2015"/>
    <w:rsid w:val="00CC5133"/>
    <w:rsid w:val="00CC599D"/>
    <w:rsid w:val="00CD0665"/>
    <w:rsid w:val="00CD1C6C"/>
    <w:rsid w:val="00CD252F"/>
    <w:rsid w:val="00CE7C26"/>
    <w:rsid w:val="00D03AB9"/>
    <w:rsid w:val="00D20518"/>
    <w:rsid w:val="00D22DC7"/>
    <w:rsid w:val="00D24A1B"/>
    <w:rsid w:val="00D2624C"/>
    <w:rsid w:val="00D36053"/>
    <w:rsid w:val="00D37FD6"/>
    <w:rsid w:val="00D41487"/>
    <w:rsid w:val="00D5565A"/>
    <w:rsid w:val="00D77A3F"/>
    <w:rsid w:val="00D929FD"/>
    <w:rsid w:val="00DA286E"/>
    <w:rsid w:val="00DA4159"/>
    <w:rsid w:val="00DB0E6D"/>
    <w:rsid w:val="00DB2E87"/>
    <w:rsid w:val="00DB4B03"/>
    <w:rsid w:val="00DC40B1"/>
    <w:rsid w:val="00DD280E"/>
    <w:rsid w:val="00DD4378"/>
    <w:rsid w:val="00DE4FD2"/>
    <w:rsid w:val="00DE72AA"/>
    <w:rsid w:val="00DF33A7"/>
    <w:rsid w:val="00E04BAD"/>
    <w:rsid w:val="00E04D96"/>
    <w:rsid w:val="00E14663"/>
    <w:rsid w:val="00E16BCA"/>
    <w:rsid w:val="00E218B9"/>
    <w:rsid w:val="00E34B9B"/>
    <w:rsid w:val="00E56BF6"/>
    <w:rsid w:val="00EE3190"/>
    <w:rsid w:val="00EE7A0A"/>
    <w:rsid w:val="00EF692C"/>
    <w:rsid w:val="00F02695"/>
    <w:rsid w:val="00F05187"/>
    <w:rsid w:val="00F142E0"/>
    <w:rsid w:val="00F30E55"/>
    <w:rsid w:val="00F3377F"/>
    <w:rsid w:val="00F4099C"/>
    <w:rsid w:val="00F46233"/>
    <w:rsid w:val="00F6423F"/>
    <w:rsid w:val="00F66314"/>
    <w:rsid w:val="00F71389"/>
    <w:rsid w:val="00F72C4B"/>
    <w:rsid w:val="00F760F7"/>
    <w:rsid w:val="00F83FB7"/>
    <w:rsid w:val="00FB031F"/>
    <w:rsid w:val="00FC4101"/>
    <w:rsid w:val="00FE09CE"/>
    <w:rsid w:val="00FE7C8E"/>
    <w:rsid w:val="00FF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CB4BEE83-A3F4-490B-89DB-3C5306912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sz w:val="44"/>
      <w:u w:val="single"/>
    </w:rPr>
  </w:style>
  <w:style w:type="paragraph" w:styleId="Nadpis2">
    <w:name w:val="heading 2"/>
    <w:basedOn w:val="Normln"/>
    <w:next w:val="Normln"/>
    <w:qFormat/>
    <w:rsid w:val="001C72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360"/>
    </w:pPr>
  </w:style>
  <w:style w:type="paragraph" w:styleId="Zkladntext">
    <w:name w:val="Body Text"/>
    <w:basedOn w:val="Normln"/>
    <w:pPr>
      <w:jc w:val="both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B6454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6454B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B6454B"/>
    <w:pPr>
      <w:jc w:val="center"/>
    </w:pPr>
    <w:rPr>
      <w:b/>
      <w:bCs/>
      <w:sz w:val="24"/>
      <w:szCs w:val="24"/>
    </w:rPr>
  </w:style>
  <w:style w:type="paragraph" w:styleId="Textvbloku">
    <w:name w:val="Block Text"/>
    <w:basedOn w:val="Normln"/>
    <w:rsid w:val="00CC599D"/>
    <w:pPr>
      <w:overflowPunct w:val="0"/>
      <w:autoSpaceDE w:val="0"/>
      <w:autoSpaceDN w:val="0"/>
      <w:adjustRightInd w:val="0"/>
      <w:spacing w:line="240" w:lineRule="exact"/>
      <w:ind w:left="144" w:right="288" w:firstLine="360"/>
      <w:jc w:val="both"/>
      <w:textAlignment w:val="baseline"/>
    </w:pPr>
  </w:style>
  <w:style w:type="character" w:customStyle="1" w:styleId="spelle">
    <w:name w:val="spelle"/>
    <w:basedOn w:val="Standardnpsmoodstavce"/>
    <w:rsid w:val="00962D67"/>
  </w:style>
  <w:style w:type="paragraph" w:styleId="Zkladntextodsazen2">
    <w:name w:val="Body Text Indent 2"/>
    <w:basedOn w:val="Normln"/>
    <w:rsid w:val="001C7218"/>
    <w:pPr>
      <w:spacing w:after="120" w:line="480" w:lineRule="auto"/>
      <w:ind w:left="283"/>
    </w:pPr>
  </w:style>
  <w:style w:type="character" w:styleId="Siln">
    <w:name w:val="Strong"/>
    <w:basedOn w:val="Standardnpsmoodstavce"/>
    <w:uiPriority w:val="22"/>
    <w:qFormat/>
    <w:rsid w:val="00291291"/>
    <w:rPr>
      <w:b/>
      <w:bCs/>
    </w:rPr>
  </w:style>
  <w:style w:type="character" w:styleId="Odkaznakoment">
    <w:name w:val="annotation reference"/>
    <w:basedOn w:val="Standardnpsmoodstavce"/>
    <w:rsid w:val="00923D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923D88"/>
  </w:style>
  <w:style w:type="character" w:customStyle="1" w:styleId="TextkomenteChar">
    <w:name w:val="Text komentáře Char"/>
    <w:basedOn w:val="Standardnpsmoodstavce"/>
    <w:link w:val="Textkomente"/>
    <w:rsid w:val="00923D88"/>
  </w:style>
  <w:style w:type="paragraph" w:styleId="Pedmtkomente">
    <w:name w:val="annotation subject"/>
    <w:basedOn w:val="Textkomente"/>
    <w:next w:val="Textkomente"/>
    <w:link w:val="PedmtkomenteChar"/>
    <w:rsid w:val="00923D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23D8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E7C26"/>
    <w:rPr>
      <w:color w:val="0000FF"/>
      <w:u w:val="single"/>
    </w:rPr>
  </w:style>
  <w:style w:type="character" w:customStyle="1" w:styleId="NzevChar">
    <w:name w:val="Název Char"/>
    <w:basedOn w:val="Standardnpsmoodstavce"/>
    <w:link w:val="Nzev"/>
    <w:rsid w:val="00431DE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520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OBSAH:</vt:lpstr>
    </vt:vector>
  </TitlesOfParts>
  <Company> 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subject/>
  <dc:creator>Jindřiška</dc:creator>
  <cp:keywords/>
  <cp:lastModifiedBy>Martin Štefek</cp:lastModifiedBy>
  <cp:revision>18</cp:revision>
  <cp:lastPrinted>2016-06-29T13:40:00Z</cp:lastPrinted>
  <dcterms:created xsi:type="dcterms:W3CDTF">2015-07-21T17:02:00Z</dcterms:created>
  <dcterms:modified xsi:type="dcterms:W3CDTF">2016-06-29T13:40:00Z</dcterms:modified>
</cp:coreProperties>
</file>