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Geodetpro,s.r.o.</w:t>
      </w:r>
    </w:p>
    <w:p>
      <w:pPr>
        <w:pStyle w:val="Normal"/>
        <w:rPr>
          <w:rFonts w:ascii="Arial" w:hAnsi="Arial" w:cs="Arial"/>
        </w:rPr>
      </w:pPr>
      <w:r>
        <w:rPr>
          <w:rFonts w:ascii="Arial" w:hAnsi="Arial" w:cs="Arial"/>
        </w:rPr>
        <w:t>Lubojackého 2365, 738 01 Frýdek-Místek</w:t>
      </w:r>
    </w:p>
    <w:p>
      <w:pPr>
        <w:pStyle w:val="Normal"/>
        <w:tabs>
          <w:tab w:val="clear" w:pos="708"/>
          <w:tab w:val="right" w:leader="none" w:pos="8931"/>
        </w:tabs>
        <w:rPr>
          <w:rFonts w:ascii="Arial" w:hAnsi="Arial" w:cs="Arial"/>
        </w:rPr>
      </w:pPr>
      <w:r>
        <w:rPr>
          <w:rFonts w:ascii="Arial" w:hAnsi="Arial" w:cs="Arial"/>
        </w:rPr>
        <w:t>telefon: +420 603 734 579, +420 558 434 052</w:t>
        <w:tab/>
        <w:t>e-mail:info@geodetpro.cz</w:t>
      </w:r>
    </w:p>
    <w:p>
      <w:pPr>
        <w:pStyle w:val="Normal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Technická zpráva geodetické části DSPS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Souhrnné údaje:</w:t>
      </w:r>
    </w:p>
    <w:p>
      <w:pPr>
        <w:pStyle w:val="Normal"/>
        <w:tabs>
          <w:tab w:val="clear" w:pos="708"/>
          <w:tab w:val="left" w:leader="none" w:pos="3119"/>
        </w:tabs>
        <w:jc w:val="both"/>
        <w:rPr/>
      </w:pPr>
      <w:r>
        <w:rPr>
          <w:rFonts w:ascii="Arial" w:hAnsi="Arial" w:cs="Arial"/>
        </w:rPr>
        <w:t>GDSPS č.:</w:t>
        <w:tab/>
        <w:t>201</w:t>
      </w:r>
      <w:r>
        <w:rPr>
          <w:rFonts w:ascii="Arial" w:hAnsi="Arial" w:cs="Arial"/>
        </w:rPr>
        <w:t>9</w:t>
      </w:r>
      <w:r>
        <w:rPr>
          <w:rFonts w:ascii="Arial" w:hAnsi="Arial" w:cs="Arial"/>
        </w:rPr>
        <w:t>/</w:t>
      </w:r>
      <w:r>
        <w:rPr>
          <w:rFonts w:ascii="Arial" w:hAnsi="Arial" w:cs="Arial"/>
        </w:rPr>
        <w:t>395</w:t>
      </w:r>
    </w:p>
    <w:p>
      <w:pPr>
        <w:pStyle w:val="Normal"/>
        <w:tabs>
          <w:tab w:val="clear" w:pos="708"/>
          <w:tab w:val="left" w:leader="none" w:pos="3119"/>
        </w:tabs>
        <w:jc w:val="both"/>
        <w:rPr/>
      </w:pPr>
      <w:r>
        <w:rPr>
          <w:rFonts w:ascii="Arial" w:hAnsi="Arial" w:cs="Arial"/>
          <w:bCs/>
        </w:rPr>
        <w:t xml:space="preserve">Název </w:t>
      </w:r>
      <w:r>
        <w:rPr>
          <w:rFonts w:ascii="Arial" w:hAnsi="Arial" w:cs="Arial"/>
        </w:rPr>
        <w:t xml:space="preserve">stavby: </w:t>
        <w:tab/>
        <w:t>Místek Kvapilova, město FM, přeložka NNk</w:t>
      </w:r>
    </w:p>
    <w:p>
      <w:pPr>
        <w:pStyle w:val="Normal"/>
        <w:tabs>
          <w:tab w:val="clear" w:pos="708"/>
          <w:tab w:val="left" w:leader="none" w:pos="3119"/>
        </w:tabs>
        <w:jc w:val="both"/>
        <w:rPr/>
      </w:pPr>
      <w:r>
        <w:rPr>
          <w:rFonts w:ascii="Arial" w:hAnsi="Arial" w:cs="Arial"/>
          <w:bCs/>
        </w:rPr>
        <w:t>Číslo stavby:</w:t>
        <w:tab/>
        <w:t>IZ-12-8001107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Kraj:</w:t>
        <w:tab/>
        <w:t>Moravskoslezský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Okres:</w:t>
        <w:tab/>
        <w:t>Frýdek-Místek</w:t>
      </w:r>
    </w:p>
    <w:p>
      <w:pPr>
        <w:pStyle w:val="Normal"/>
        <w:tabs>
          <w:tab w:val="clear" w:pos="708"/>
          <w:tab w:val="left" w:leader="none" w:pos="3119"/>
        </w:tabs>
        <w:jc w:val="both"/>
        <w:rPr/>
      </w:pPr>
      <w:r>
        <w:rPr>
          <w:rFonts w:ascii="Arial" w:hAnsi="Arial" w:cs="Arial"/>
          <w:bCs/>
        </w:rPr>
        <w:t>Obec:</w:t>
        <w:tab/>
      </w:r>
      <w:r>
        <w:rPr>
          <w:rFonts w:ascii="Arial" w:hAnsi="Arial" w:cs="Arial"/>
          <w:bCs/>
        </w:rPr>
        <w:t>Frýdek-Místek</w:t>
      </w:r>
    </w:p>
    <w:p>
      <w:pPr>
        <w:pStyle w:val="Normal"/>
        <w:tabs>
          <w:tab w:val="clear" w:pos="708"/>
          <w:tab w:val="left" w:leader="none" w:pos="3119"/>
        </w:tabs>
        <w:jc w:val="both"/>
        <w:rPr/>
      </w:pPr>
      <w:r>
        <w:rPr>
          <w:rFonts w:ascii="Arial" w:hAnsi="Arial" w:cs="Arial"/>
          <w:bCs/>
        </w:rPr>
        <w:t>Katastrální území:</w:t>
        <w:tab/>
      </w:r>
      <w:r>
        <w:rPr>
          <w:rFonts w:ascii="Arial" w:hAnsi="Arial" w:cs="Arial"/>
          <w:bCs/>
        </w:rPr>
        <w:t>Místek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Souřadnicový systém:</w:t>
        <w:tab/>
        <w:t>S-JTSK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Výškový systém:</w:t>
        <w:tab/>
        <w:t>Bpv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Měřítko:</w:t>
        <w:tab/>
        <w:t>1 : 500</w:t>
      </w:r>
    </w:p>
    <w:p>
      <w:pPr>
        <w:pStyle w:val="Normal"/>
        <w:tabs>
          <w:tab w:val="clear" w:pos="708"/>
          <w:tab w:val="left" w:leader="none" w:pos="3119"/>
        </w:tabs>
        <w:rPr>
          <w:rFonts w:ascii="Arial" w:hAnsi="Arial" w:cs="Arial"/>
        </w:rPr>
      </w:pPr>
      <w:r>
        <w:rPr>
          <w:rFonts w:ascii="Arial" w:hAnsi="Arial" w:cs="Arial"/>
        </w:rPr>
        <w:t>Třída přesnosti mapování:</w:t>
        <w:tab/>
        <w:t xml:space="preserve">3 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Datum zaměření:</w:t>
        <w:tab/>
      </w:r>
      <w:r>
        <w:rPr>
          <w:rFonts w:ascii="Arial" w:hAnsi="Arial" w:cs="Arial"/>
        </w:rPr>
        <w:t>30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>9</w:t>
      </w:r>
      <w:r>
        <w:rPr>
          <w:rFonts w:ascii="Arial" w:hAnsi="Arial" w:cs="Arial"/>
        </w:rPr>
        <w:t>.2019</w:t>
      </w:r>
    </w:p>
    <w:p>
      <w:pPr>
        <w:pStyle w:val="Normal"/>
        <w:tabs>
          <w:tab w:val="clear" w:pos="708"/>
          <w:tab w:val="left" w:leader="none" w:pos="3119"/>
        </w:tabs>
        <w:rPr>
          <w:rFonts w:ascii="Arial" w:hAnsi="Arial" w:cs="Arial"/>
        </w:rPr>
      </w:pPr>
      <w:r>
        <w:rPr>
          <w:rFonts w:ascii="Arial" w:hAnsi="Arial" w:cs="Arial"/>
        </w:rPr>
        <w:t>Dodavatel geodetických prací:</w:t>
        <w:tab/>
        <w:t>Geodetpro,s.r.o. (IČO 03726932)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Délka měřených tras:</w:t>
        <w:tab/>
      </w:r>
      <w:r>
        <w:rPr>
          <w:rFonts w:ascii="Arial" w:hAnsi="Arial" w:cs="Arial"/>
          <w:spacing w:val="-2"/>
        </w:rPr>
        <w:t xml:space="preserve">10,4 </w:t>
      </w:r>
      <w:r>
        <w:rPr>
          <w:rFonts w:ascii="Arial" w:hAnsi="Arial" w:cs="Arial"/>
          <w:spacing w:val="-2"/>
        </w:rPr>
        <w:t>m zemního vedení NN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Trasa zaměřena:</w:t>
        <w:tab/>
        <w:t>před záhozem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stavby:</w:t>
        <w:tab/>
        <w:t>Ing.Martin Barteček, Praha 2 - Vinohrady (IČO 47195355)</w:t>
      </w:r>
    </w:p>
    <w:p>
      <w:pPr>
        <w:pStyle w:val="Normal"/>
        <w:rPr>
          <w:rFonts w:ascii="Arial" w:hAnsi="Arial" w:cs="Arial"/>
        </w:rPr>
      </w:pPr>
      <w:r>
        <w:rPr>
          <w:rFonts w:ascii="Arial" w:hAnsi="Arial" w:cs="Arial"/>
        </w:rPr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Polohové a výškové bodové pole: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Použité přístroje a pomůcky:</w:t>
        <w:tab/>
        <w:t xml:space="preserve">dvoufrekvenční GNSS přijímač STONEX S9 plus, </w:t>
        <w:tab/>
        <w:t>v.č. STNS94483018</w:t>
      </w:r>
    </w:p>
    <w:p>
      <w:pPr>
        <w:pStyle w:val="Normal"/>
        <w:tabs>
          <w:tab w:val="clear" w:pos="708"/>
          <w:tab w:val="left" w:leader="none" w:pos="3119"/>
        </w:tabs>
        <w:ind w:left="2835" w:hanging="283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Určení polohy měřické sítě:</w:t>
        <w:tab/>
        <w:tab/>
        <w:t>vyrovnáním MNČ na body PBPP a body určené metodou GNSS</w:t>
      </w:r>
    </w:p>
    <w:p>
      <w:pPr>
        <w:pStyle w:val="Normal"/>
        <w:ind w:left="2832" w:hanging="283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Určení výšek měřické sítě:</w:t>
        <w:tab/>
        <w:t xml:space="preserve">     trigonometricky z bodů určených metodou GNSS</w:t>
      </w:r>
    </w:p>
    <w:p>
      <w:pPr>
        <w:pStyle w:val="Normal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Způsob provedení podrobného měření:</w:t>
      </w:r>
    </w:p>
    <w:p>
      <w:pPr>
        <w:pStyle w:val="Normal"/>
        <w:tabs>
          <w:tab w:val="clear" w:pos="708"/>
          <w:tab w:val="left" w:leader="none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Použité přístroje a pomůcky:</w:t>
        <w:tab/>
        <w:t xml:space="preserve">dvoufrekvenční GNSS přijímač STONEXS9 plus </w:t>
        <w:tab/>
        <w:t>v.č. STNS94483018</w:t>
      </w:r>
    </w:p>
    <w:p>
      <w:pPr>
        <w:pStyle w:val="Normal"/>
        <w:tabs>
          <w:tab w:val="clear" w:pos="708"/>
          <w:tab w:val="left" w:leader="none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Metoda mapování:</w:t>
        <w:tab/>
        <w:t>80% bodů bylo převzato z projektové dokumentace, zbytek je určen metodou GNSS, rohy budov bez umožněného přístupu byly určeny bezodrazem a cíle nemají výšku.</w:t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  <w:t xml:space="preserve">Další údaje: </w:t>
      </w:r>
    </w:p>
    <w:p>
      <w:pPr>
        <w:pStyle w:val="Normal"/>
        <w:widowControl w:val="false"/>
        <w:ind w:left="-12" w:hanging="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Trasa energetického vedení - zaměření bylo provedeno dle požadavků objednatele tak, aby podrobné body vystihovaly průběh vedení - tj. zaměření všech lomových bodů trasy. Dále byly zaměřeny všechny technické objekty na síti.</w:t>
      </w:r>
    </w:p>
    <w:p>
      <w:pPr>
        <w:pStyle w:val="Normal"/>
        <w:widowControl w:val="false"/>
        <w:ind w:left="-12" w:hanging="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</w:r>
    </w:p>
    <w:p>
      <w:pPr>
        <w:pStyle w:val="Tlotextu"/>
        <w:widowControl w:val="false"/>
        <w:ind w:left="-12" w:hanging="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 xml:space="preserve">Polohopis (okolí trasy) - obsahem polohopisu účelové mapy je zaměření prvků, které mají význam z pohledu následné údržby a správy energetického vedení. Jedná se o jednoznačně identifikovatelné linie a objekty v nejbližším okolí trasy vedení - budovy a další stavební objekty, krajnice vozovek, obrubníky, chodníky, ploty atd. </w:t>
      </w:r>
    </w:p>
    <w:p>
      <w:pPr>
        <w:pStyle w:val="Normal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Způsob provedení kancelářských/výpočetních prací:</w:t>
      </w:r>
    </w:p>
    <w:p>
      <w:pPr>
        <w:pStyle w:val="Normal"/>
        <w:tabs>
          <w:tab w:val="clear" w:pos="708"/>
          <w:tab w:val="left" w:leader="none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Použitý výpočetní a grafický SW:</w:t>
        <w:tab/>
        <w:t>geodetický program GEUS 23.0 a Bentley Map PowerView V8i</w:t>
      </w:r>
    </w:p>
    <w:p>
      <w:pPr>
        <w:pStyle w:val="Normal"/>
        <w:tabs>
          <w:tab w:val="clear" w:pos="708"/>
          <w:tab w:val="left" w:leader="none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 geodetickou nadstavbou MGEO 19.09.09</w:t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Dosažená přesnost:</w:t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  <w:t xml:space="preserve">Je dodrženo mapování ve třídě přesnosti 3 dle ČSN 01 3410. Charakteristikou přesnosti určení nových souřadnic podrobných bodů mapování je základní směrodatná souřadnicová odchylka </w:t>
      </w:r>
      <w:r>
        <w:rPr>
          <w:i/>
        </w:rPr>
        <w:t>σ</w:t>
      </w:r>
      <w:r>
        <w:rPr>
          <w:i/>
          <w:vertAlign w:val="subscript"/>
        </w:rPr>
        <w:t>xy</w:t>
      </w:r>
      <w:r>
        <w:rPr>
          <w:spacing w:val="-3"/>
          <w:sz w:val="20"/>
        </w:rPr>
        <w:t xml:space="preserve"> = 0.14m . Charakteristikou určení výšek nových podrobných bodů je základní směrodatná výšková odchylka σ</w:t>
      </w:r>
      <w:r>
        <w:rPr>
          <w:i/>
          <w:vertAlign w:val="subscript"/>
        </w:rPr>
        <w:t>H</w:t>
      </w:r>
      <w:r>
        <w:rPr>
          <w:spacing w:val="-3"/>
          <w:sz w:val="20"/>
        </w:rPr>
        <w:t xml:space="preserve"> = 0.12m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 w:cs="Arial"/>
          <w:b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Slovní zhodnocení přesnosti původního podkladu:</w:t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  <w:t xml:space="preserve">Polohové odchylky na identických bodech jsou od 0 do 24 cm – je možno prohlásit, že </w:t>
      </w:r>
      <w:r>
        <w:rPr>
          <w:b/>
          <w:spacing w:val="-3"/>
          <w:sz w:val="20"/>
        </w:rPr>
        <w:t>je splněna podmínka 3. tř. přesnosti</w:t>
      </w:r>
      <w:r>
        <w:rPr>
          <w:spacing w:val="-3"/>
          <w:sz w:val="20"/>
        </w:rPr>
        <w:t xml:space="preserve"> a požadavek na přesnost kóty k trase inženýrské sítě. </w:t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</w:r>
    </w:p>
    <w:p>
      <w:pPr>
        <w:pStyle w:val="Smrnicepodbod"/>
        <w:rPr>
          <w:spacing w:val="-3"/>
          <w:sz w:val="20"/>
        </w:rPr>
      </w:pPr>
      <w:r>
        <w:rPr>
          <w:spacing w:val="-3"/>
          <w:sz w:val="20"/>
        </w:rPr>
      </w:r>
    </w:p>
    <w:p>
      <w:pPr>
        <w:pStyle w:val="Normal"/>
        <w:ind w:left="284" w:hanging="0"/>
        <w:jc w:val="both"/>
        <w:rPr>
          <w:rFonts w:ascii="Arial" w:hAnsi="Arial" w:cs="Arial"/>
          <w:b/>
          <w:b/>
          <w:spacing w:val="-3"/>
        </w:rPr>
      </w:pPr>
      <w:r>
        <w:rPr>
          <w:rFonts w:ascii="Arial" w:hAnsi="Arial" w:cs="Arial"/>
          <w:b/>
          <w:spacing w:val="-3"/>
        </w:rPr>
        <w:t>Předávaná dokumentace:</w:t>
      </w:r>
    </w:p>
    <w:p>
      <w:pPr>
        <w:pStyle w:val="Normal"/>
        <w:ind w:left="567" w:hanging="0"/>
        <w:jc w:val="both"/>
        <w:rPr>
          <w:rFonts w:ascii="Arial" w:hAnsi="Arial" w:cs="Arial"/>
          <w:b/>
          <w:b/>
          <w:spacing w:val="-3"/>
        </w:rPr>
      </w:pPr>
      <w:r>
        <w:rPr>
          <w:rFonts w:ascii="Arial" w:hAnsi="Arial" w:cs="Arial"/>
          <w:b/>
          <w:spacing w:val="-3"/>
        </w:rPr>
        <w:t>Dokumentace v papírové podobě:</w:t>
      </w:r>
    </w:p>
    <w:p>
      <w:pPr>
        <w:pStyle w:val="Normal"/>
        <w:numPr>
          <w:ilvl w:val="2"/>
          <w:numId w:val="1"/>
        </w:numPr>
        <w:ind w:left="567" w:hanging="36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3x technická zpráva</w:t>
      </w:r>
    </w:p>
    <w:p>
      <w:pPr>
        <w:pStyle w:val="Normal"/>
        <w:numPr>
          <w:ilvl w:val="2"/>
          <w:numId w:val="1"/>
        </w:numPr>
        <w:ind w:left="567" w:hanging="36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3x seznam souřadnic podrobných bodů</w:t>
      </w:r>
    </w:p>
    <w:p>
      <w:pPr>
        <w:pStyle w:val="Normal"/>
        <w:numPr>
          <w:ilvl w:val="2"/>
          <w:numId w:val="1"/>
        </w:numPr>
        <w:ind w:left="567" w:hanging="36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3x paré kontrolní kresby v měřítku 1:500</w:t>
      </w:r>
    </w:p>
    <w:p>
      <w:pPr>
        <w:pStyle w:val="Normal"/>
        <w:numPr>
          <w:ilvl w:val="2"/>
          <w:numId w:val="1"/>
        </w:numPr>
        <w:ind w:left="567" w:hanging="36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1x CD s dokumentací v digitální podobě</w:t>
      </w:r>
    </w:p>
    <w:p>
      <w:pPr>
        <w:pStyle w:val="Normal"/>
        <w:ind w:left="1134" w:hanging="0"/>
        <w:jc w:val="both"/>
        <w:rPr>
          <w:rFonts w:ascii="Arial" w:hAnsi="Arial" w:cs="Arial"/>
          <w:b/>
          <w:b/>
          <w:spacing w:val="-3"/>
        </w:rPr>
      </w:pPr>
      <w:r>
        <w:rPr>
          <w:rFonts w:ascii="Arial" w:hAnsi="Arial" w:cs="Arial"/>
          <w:b/>
          <w:spacing w:val="-3"/>
        </w:rPr>
      </w:r>
    </w:p>
    <w:p>
      <w:pPr>
        <w:pStyle w:val="Normal"/>
        <w:ind w:left="567" w:hanging="0"/>
        <w:jc w:val="both"/>
        <w:rPr>
          <w:rFonts w:ascii="Arial" w:hAnsi="Arial" w:cs="Arial"/>
          <w:b/>
          <w:b/>
          <w:spacing w:val="-3"/>
        </w:rPr>
      </w:pPr>
      <w:r>
        <w:rPr>
          <w:rFonts w:ascii="Arial" w:hAnsi="Arial" w:cs="Arial"/>
          <w:b/>
          <w:spacing w:val="-3"/>
        </w:rPr>
        <w:t>Dokumentace v digitální podobě - soubory:</w:t>
      </w:r>
    </w:p>
    <w:p>
      <w:pPr>
        <w:pStyle w:val="Normal"/>
        <w:ind w:left="1134" w:hanging="0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</w:r>
    </w:p>
    <w:p>
      <w:pPr>
        <w:sectPr>
          <w:footerReference w:type="default" r:id="rId2"/>
          <w:type w:val="nextPage"/>
          <w:pgSz w:w="11906" w:h="16838"/>
          <w:pgMar w:top="1276" w:right="1417" w:bottom="1134" w:left="1417" w:header="720" w:footer="720" w:gutter="0"/>
          <w:pgNumType w:fmt="decimal"/>
          <w:formProt w:val="false"/>
          <w:textDirection w:val="lrTb"/>
          <w:docGrid w:type="default" w:linePitch="600" w:charSpace="10034"/>
        </w:sectPr>
      </w:pP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RDF_DSPS_IZ-12-8001107.xml</w:t>
      </w: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Tzgz_XG_IZ-12-8001107.docx</w:t>
      </w: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scan_GS.pdf</w:t>
      </w: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scan_JS.pdf</w:t>
      </w:r>
    </w:p>
    <w:p>
      <w:pPr>
        <w:pStyle w:val="Normal"/>
        <w:rPr>
          <w:rFonts w:ascii="Arial" w:hAnsi="Arial" w:cs="Arial"/>
        </w:rPr>
      </w:pPr>
      <w:r>
        <w:rPr>
          <w:rFonts w:ascii="Arial" w:hAnsi="Arial" w:eastAsia="Arial" w:cs="Arial"/>
        </w:rPr>
        <w:t xml:space="preserve">          </w:t>
      </w:r>
      <w:r>
        <w:rPr>
          <w:rFonts w:ascii="Arial" w:hAnsi="Arial" w:eastAsia="Arial" w:cs="Arial"/>
        </w:rPr>
        <w:t>sezsou_IZ-12-8001107</w:t>
      </w:r>
      <w:r>
        <w:rPr>
          <w:rFonts w:ascii="Arial" w:hAnsi="Arial" w:cs="Arial"/>
        </w:rPr>
        <w:t>.txt</w:t>
      </w:r>
    </w:p>
    <w:p>
      <w:pPr>
        <w:pStyle w:val="Normal"/>
        <w:ind w:left="56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GNSS_IZ-12-8001107_1 až 3.txt </w:t>
      </w:r>
    </w:p>
    <w:p>
      <w:pPr>
        <w:pStyle w:val="Normal"/>
        <w:rPr>
          <w:rFonts w:ascii="Arial" w:hAnsi="Arial" w:cs="Arial"/>
        </w:rPr>
      </w:pPr>
      <w:r>
        <w:rPr>
          <w:rFonts w:ascii="Arial" w:hAnsi="Arial" w:eastAsia="Arial" w:cs="Arial"/>
        </w:rPr>
        <w:t xml:space="preserve">          </w:t>
      </w:r>
      <w:bookmarkStart w:name="__DdeLink__286_1223958714" w:id="0"/>
      <w:bookmarkEnd w:id="0"/>
      <w:r>
        <w:rPr>
          <w:rFonts w:ascii="Arial" w:hAnsi="Arial" w:cs="Arial"/>
        </w:rPr>
        <w:t>revizni_zprava.pdf</w:t>
      </w:r>
    </w:p>
    <w:p>
      <w:pPr>
        <w:pStyle w:val="Normal"/>
        <w:ind w:left="567" w:hanging="0"/>
        <w:jc w:val="both"/>
        <w:rPr>
          <w:rFonts w:ascii="Arial" w:hAnsi="Arial" w:cs="Arial"/>
          <w:b/>
          <w:b/>
          <w:spacing w:val="-3"/>
        </w:rPr>
      </w:pPr>
      <w:r>
        <w:rPr>
          <w:rFonts w:ascii="Arial" w:hAnsi="Arial" w:cs="Arial"/>
          <w:b/>
          <w:spacing w:val="-3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Zpracování bylo provedeno dle Metodiky CEZd_ME_0088_r01_19.09.09</w:t>
      </w:r>
      <w:bookmarkStart w:name="_GoBack" w:id="1"/>
      <w:bookmarkEnd w:id="1"/>
    </w:p>
    <w:p>
      <w:pPr>
        <w:pStyle w:val="Normal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>
      <w:pPr>
        <w:pStyle w:val="Normal"/>
        <w:tabs>
          <w:tab w:val="clear" w:pos="708"/>
          <w:tab w:val="left" w:leader="none" w:pos="6804"/>
        </w:tabs>
        <w:ind w:left="538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Vypracoval :</w:t>
        <w:tab/>
        <w:t>Ing.Ivo Kotek</w:t>
      </w:r>
    </w:p>
    <w:p>
      <w:pPr>
        <w:pStyle w:val="Normal"/>
        <w:tabs>
          <w:tab w:val="clear" w:pos="708"/>
          <w:tab w:val="left" w:leader="none" w:pos="6804"/>
        </w:tabs>
        <w:ind w:left="538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Datum:</w:t>
        <w:tab/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>.2019</w:t>
      </w:r>
    </w:p>
    <w:p>
      <w:pPr>
        <w:pStyle w:val="Normal"/>
        <w:tabs>
          <w:tab w:val="clear" w:pos="708"/>
          <w:tab w:val="left" w:leader="none" w:pos="6804"/>
        </w:tabs>
        <w:ind w:left="538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Ověřil:</w:t>
        <w:tab/>
        <w:t>Ing.Ivo Kotek</w:t>
      </w:r>
    </w:p>
    <w:p>
      <w:pPr>
        <w:pStyle w:val="Normal"/>
        <w:tabs>
          <w:tab w:val="clear" w:pos="708"/>
          <w:tab w:val="left" w:leader="none" w:pos="6804"/>
        </w:tabs>
        <w:ind w:left="5387" w:hanging="0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ověření:</w:t>
        <w:tab/>
      </w:r>
      <w:r>
        <w:rPr>
          <w:rFonts w:ascii="Arial" w:hAnsi="Arial" w:cs="Arial"/>
        </w:rPr>
        <w:t>297</w:t>
      </w:r>
      <w:r>
        <w:rPr>
          <w:rFonts w:ascii="Arial" w:hAnsi="Arial" w:cs="Arial"/>
        </w:rPr>
        <w:t>/2019</w:t>
      </w:r>
    </w:p>
    <w:p>
      <w:pPr>
        <w:sectPr>
          <w:type w:val="continuous"/>
          <w:pgSz w:w="11906" w:h="16838"/>
          <w:pgMar w:top="1276" w:right="1417" w:bottom="1134" w:left="1417" w:header="720" w:footer="720" w:gutter="0"/>
          <w:formProt w:val="false"/>
          <w:textDirection w:val="lrTb"/>
          <w:docGrid w:type="default" w:linePitch="600" w:charSpace="10034"/>
        </w:sectPr>
      </w:pPr>
    </w:p>
    <w:p>
      <w:pPr>
        <w:pStyle w:val="Normal"/>
        <w:rPr/>
      </w:pPr>
      <w:r>
        <w:rPr/>
      </w:r>
    </w:p>
    <w:sectPr>
      <w:footerReference w:type="default" r:id="rId3"/>
      <w:type w:val="continuous"/>
      <w:pgSz w:w="11906" w:h="16838"/>
      <w:pgMar w:top="1276" w:right="1417" w:bottom="1134" w:left="1417" w:header="720" w:footer="720" w:gutter="0"/>
      <w:pgNumType w:fmt="decimal"/>
      <w:formProt w:val="false"/>
      <w:textDirection w:val="lrTb"/>
      <w:docGrid w:type="default" w:linePitch="600" w:charSpace="100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bidi="ar-SA" w:val="cs-CZ" w:eastAsia="zh-CN"/>
    </w:rPr>
  </w:style>
  <w:style w:type="paragraph" w:styleId="Nadpis5">
    <w:name w:val="Heading 5"/>
    <w:basedOn w:val="Normal"/>
    <w:qFormat/>
    <w:pPr>
      <w:keepNext w:val="true"/>
      <w:jc w:val="both"/>
      <w:outlineLvl w:val="4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>
      <w:b/>
    </w:rPr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Standardnpsmoodstavce4" w:customStyle="1">
    <w:name w:val="Standardní písmo odstavce4"/>
    <w:qFormat/>
    <w:rPr/>
  </w:style>
  <w:style w:type="character" w:styleId="Standardnpsmoodstavce3" w:customStyle="1">
    <w:name w:val="Standardní písmo odstavce3"/>
    <w:qFormat/>
    <w:rPr/>
  </w:style>
  <w:style w:type="character" w:styleId="Standardnpsmoodstavce2" w:customStyle="1">
    <w:name w:val="Standardní písmo odstavce2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Standardnpsmoodstavce1" w:customStyle="1">
    <w:name w:val="Standardní písmo odstavce1"/>
    <w:qFormat/>
    <w:rPr/>
  </w:style>
  <w:style w:type="character" w:styleId="Pagenumber">
    <w:name w:val="page number"/>
    <w:basedOn w:val="Standardnpsmoodstavce1"/>
    <w:qFormat/>
    <w:rPr/>
  </w:style>
  <w:style w:type="character" w:styleId="Internetovodkaz" w:customStyle="1">
    <w:name w:val="Internetový odkaz"/>
    <w:rPr>
      <w:color w:val="0563C1"/>
      <w:u w:val="single"/>
    </w:rPr>
  </w:style>
  <w:style w:type="character" w:styleId="Navtveninternetovodkaz" w:customStyle="1">
    <w:name w:val="Navštívený internetový odkaz"/>
    <w:rPr>
      <w:color w:val="954F72"/>
      <w:u w:val="single"/>
    </w:rPr>
  </w:style>
  <w:style w:type="character" w:styleId="TextbublinyChar" w:customStyle="1">
    <w:name w:val="Text bubliny Char"/>
    <w:qFormat/>
    <w:rPr>
      <w:rFonts w:ascii="Segoe UI" w:hAnsi="Segoe UI" w:cs="Segoe UI"/>
      <w:sz w:val="18"/>
      <w:szCs w:val="18"/>
    </w:rPr>
  </w:style>
  <w:style w:type="character" w:styleId="Symbolyproslovn" w:customStyle="1">
    <w:name w:val="Symboly pro číslování"/>
    <w:qFormat/>
    <w:rPr/>
  </w:style>
  <w:style w:type="character" w:styleId="ListLabel1" w:customStyle="1">
    <w:name w:val="ListLabel 1"/>
    <w:qFormat/>
    <w:rPr>
      <w:rFonts w:ascii="Arial" w:hAnsi="Arial"/>
      <w:b/>
    </w:rPr>
  </w:style>
  <w:style w:type="character" w:styleId="ListLabel2" w:customStyle="1">
    <w:name w:val="ListLabel 2"/>
    <w:qFormat/>
    <w:rPr>
      <w:rFonts w:ascii="Arial" w:hAnsi="Arial"/>
      <w:b/>
    </w:rPr>
  </w:style>
  <w:style w:type="character" w:styleId="ListLabel3" w:customStyle="1">
    <w:name w:val="ListLabel 3"/>
    <w:qFormat/>
    <w:rPr>
      <w:b/>
    </w:rPr>
  </w:style>
  <w:style w:type="character" w:styleId="ListLabel4" w:customStyle="1">
    <w:name w:val="ListLabel 4"/>
    <w:qFormat/>
    <w:rPr>
      <w:b/>
    </w:rPr>
  </w:style>
  <w:style w:type="character" w:styleId="ListLabel5" w:customStyle="1">
    <w:name w:val="ListLabel 5"/>
    <w:qFormat/>
    <w:rPr>
      <w:b/>
    </w:rPr>
  </w:style>
  <w:style w:type="character" w:styleId="ListLabel6" w:customStyle="1">
    <w:name w:val="ListLabel 6"/>
    <w:qFormat/>
    <w:rPr>
      <w:b/>
    </w:rPr>
  </w:style>
  <w:style w:type="character" w:styleId="ListLabel7" w:customStyle="1">
    <w:name w:val="ListLabel 7"/>
    <w:qFormat/>
    <w:rPr>
      <w:b/>
    </w:rPr>
  </w:style>
  <w:style w:type="character" w:styleId="ListLabel8" w:customStyle="1">
    <w:name w:val="ListLabel 8"/>
    <w:qFormat/>
    <w:rPr>
      <w:b/>
    </w:rPr>
  </w:style>
  <w:style w:type="character" w:styleId="ListLabel9" w:customStyle="1">
    <w:name w:val="ListLabel 9"/>
    <w:qFormat/>
    <w:rPr>
      <w:b/>
    </w:rPr>
  </w:style>
  <w:style w:type="character" w:styleId="ListLabel10" w:customStyle="1">
    <w:name w:val="ListLabel 10"/>
    <w:qFormat/>
    <w:rPr>
      <w:b/>
    </w:rPr>
  </w:style>
  <w:style w:type="character" w:styleId="ListLabel11" w:customStyle="1">
    <w:name w:val="ListLabel 11"/>
    <w:qFormat/>
    <w:rPr>
      <w:b/>
    </w:rPr>
  </w:style>
  <w:style w:type="character" w:styleId="ListLabel12" w:customStyle="1">
    <w:name w:val="ListLabel 12"/>
    <w:qFormat/>
    <w:rPr>
      <w:b/>
    </w:rPr>
  </w:style>
  <w:style w:type="character" w:styleId="ListLabel13" w:customStyle="1">
    <w:name w:val="ListLabel 13"/>
    <w:qFormat/>
    <w:rPr>
      <w:b/>
    </w:rPr>
  </w:style>
  <w:style w:type="character" w:styleId="ListLabel14" w:customStyle="1">
    <w:name w:val="ListLabel 14"/>
    <w:qFormat/>
    <w:rPr>
      <w:b/>
    </w:rPr>
  </w:style>
  <w:style w:type="character" w:styleId="ListLabel15" w:customStyle="1">
    <w:name w:val="ListLabel 15"/>
    <w:qFormat/>
    <w:rPr>
      <w:b/>
    </w:rPr>
  </w:style>
  <w:style w:type="character" w:styleId="ListLabel16">
    <w:name w:val="ListLabel 16"/>
    <w:qFormat/>
    <w:rPr>
      <w:rFonts w:ascii="Arial" w:hAnsi="Arial"/>
      <w:b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Tlotextu" w:customStyle="1">
    <w:name w:val="Body Text"/>
    <w:basedOn w:val="Normal"/>
    <w:pPr>
      <w:spacing w:lineRule="auto" w:line="288" w:before="0" w:after="120"/>
    </w:pPr>
    <w:rPr/>
  </w:style>
  <w:style w:type="paragraph" w:styleId="Seznam">
    <w:name w:val="List"/>
    <w:basedOn w:val="Tlotextu"/>
    <w:pPr/>
    <w:rPr>
      <w:rFonts w:cs="Tahoma"/>
    </w:rPr>
  </w:style>
  <w:style w:type="paragraph" w:styleId="Popisek" w:customStyle="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8" w:customStyle="1">
    <w:name w:val="v8"/>
    <w:basedOn w:val="Normal"/>
    <w:qFormat/>
    <w:pPr>
      <w:spacing w:before="200" w:after="200"/>
    </w:pPr>
    <w:rPr>
      <w:b/>
      <w:color w:val="000080"/>
      <w:sz w:val="28"/>
      <w:szCs w:val="22"/>
    </w:rPr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mrnicepodbod" w:customStyle="1">
    <w:name w:val="směrnice podbod"/>
    <w:basedOn w:val="Normal"/>
    <w:qFormat/>
    <w:pPr/>
    <w:rPr>
      <w:rFonts w:ascii="Arial" w:hAnsi="Arial" w:cs="Arial"/>
      <w:sz w:val="22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Obsahtabulky" w:customStyle="1">
    <w:name w:val="Obsah tabulky"/>
    <w:basedOn w:val="Normal"/>
    <w:qFormat/>
    <w:pPr>
      <w:suppressLineNumbers/>
    </w:pPr>
    <w:rPr/>
  </w:style>
  <w:style w:type="paragraph" w:styleId="Nadpistabulky" w:customStyle="1">
    <w:name w:val="Nadpis tabulky"/>
    <w:basedOn w:val="Obsahtabulky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LibreOffice/6.2.0.3$Windows_X86_64 LibreOffice_project/98c6a8a1c6c7b144ce3cc729e34964b47ce25d62</Application>
  <Pages>2</Pages>
  <Words>423</Words>
  <Characters>2775</Characters>
  <CharactersWithSpaces>3171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2016-08-16T06:35:00Z</dcterms:created>
  <dc:creator>geodet</dc:creator>
  <dc:description/>
  <dc:language>cs-CZ</dc:language>
  <cp:lastModifiedBy/>
  <cp:lastPrinted>2014-09-09T13:10:00Z</cp:lastPrinted>
  <dcterms:modified xsi:type="dcterms:W3CDTF">2019-10-01T14:14:19Z</dcterms:modified>
  <cp:revision>34</cp:revision>
  <dc:subject/>
  <dc:title>Název firmy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